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7D9" w:rsidRDefault="005417D9" w:rsidP="005417D9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оценки заявок,</w:t>
      </w:r>
    </w:p>
    <w:p w:rsidR="005417D9" w:rsidRDefault="005417D9" w:rsidP="005417D9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окончательных предложений </w:t>
      </w:r>
    </w:p>
    <w:p w:rsidR="005417D9" w:rsidRDefault="005417D9" w:rsidP="005417D9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участников закупки и критерий этой оценки</w:t>
      </w:r>
    </w:p>
    <w:p w:rsidR="005417D9" w:rsidRDefault="005417D9" w:rsidP="005417D9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5417D9" w:rsidRDefault="005417D9" w:rsidP="005417D9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5417D9" w:rsidRDefault="005417D9" w:rsidP="005417D9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5417D9" w:rsidRDefault="005417D9" w:rsidP="00B307E7">
      <w:pPr>
        <w:spacing w:line="36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2020г. № 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5417D9" w:rsidRDefault="005417D9" w:rsidP="00B307E7">
      <w:pPr>
        <w:spacing w:line="36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Заявки, поданные с превышением начальной (максимальной) цены контракта (п/п. 1 п.4), а также условий контракта в части места поставки (п/п 1 п.7), условий оплаты (п/п 4 п. 4), условий об ответственности по обязательствам, связанных с участием в закупке (п/п 3 п. 6) отстраняются и не оцениваются. </w:t>
      </w:r>
    </w:p>
    <w:p w:rsidR="00B307E7" w:rsidRPr="00B307E7" w:rsidRDefault="00B307E7" w:rsidP="00B307E7">
      <w:pPr>
        <w:spacing w:line="360" w:lineRule="auto"/>
        <w:ind w:firstLine="426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7E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Критериями оценки заявки, окончательного предложения участника закупки являются:</w:t>
      </w:r>
    </w:p>
    <w:p w:rsidR="00B307E7" w:rsidRPr="00B307E7" w:rsidRDefault="00B307E7" w:rsidP="00B307E7">
      <w:pPr>
        <w:tabs>
          <w:tab w:val="left" w:pos="1080"/>
        </w:tabs>
        <w:spacing w:line="360" w:lineRule="auto"/>
        <w:ind w:firstLine="426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7E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а)</w:t>
      </w:r>
      <w:r w:rsidRPr="00B307E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  <w:t>стоимостной критерий - цена контракта, удельный вес стоимостной группы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4A3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</w:t>
      </w:r>
      <w:r w:rsidRPr="00B307E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0%;</w:t>
      </w:r>
    </w:p>
    <w:p w:rsidR="00B307E7" w:rsidRPr="00B307E7" w:rsidRDefault="00B307E7" w:rsidP="00B307E7">
      <w:pPr>
        <w:tabs>
          <w:tab w:val="left" w:pos="1090"/>
        </w:tabs>
        <w:spacing w:line="360" w:lineRule="auto"/>
        <w:ind w:firstLine="426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7E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б)</w:t>
      </w:r>
      <w:r w:rsidRPr="00B307E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  <w:t>нестоимостные критерии:</w:t>
      </w:r>
    </w:p>
    <w:p w:rsidR="00B307E7" w:rsidRDefault="00B307E7" w:rsidP="00B307E7">
      <w:pPr>
        <w:spacing w:line="360" w:lineRule="auto"/>
        <w:ind w:firstLine="426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307E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- удельный вес нестоимостной группы - </w:t>
      </w:r>
      <w:r w:rsidR="00CF4A3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8</w:t>
      </w:r>
      <w:bookmarkStart w:id="0" w:name="_GoBack"/>
      <w:bookmarkEnd w:id="0"/>
      <w:r w:rsidRPr="00B307E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0%,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</w:p>
    <w:p w:rsidR="00B307E7" w:rsidRPr="00B307E7" w:rsidRDefault="00B307E7" w:rsidP="00B307E7">
      <w:pPr>
        <w:spacing w:line="360" w:lineRule="auto"/>
        <w:ind w:firstLine="426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7E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том числе: соответствие заявленным  характеристикам – 60%;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B307E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гарантийный срок и техническое обслуживание - 15%,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B307E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год выпуска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B307E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B307E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5%.</w:t>
      </w:r>
    </w:p>
    <w:p w:rsidR="00B307E7" w:rsidRDefault="00B307E7" w:rsidP="005417D9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307E7" w:rsidSect="00B307E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B6"/>
    <w:rsid w:val="00356E9D"/>
    <w:rsid w:val="005417D9"/>
    <w:rsid w:val="008C42B6"/>
    <w:rsid w:val="00915182"/>
    <w:rsid w:val="00B307E7"/>
    <w:rsid w:val="00BE38CE"/>
    <w:rsid w:val="00C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E1BF"/>
  <w15:chartTrackingRefBased/>
  <w15:docId w15:val="{D4CED684-7DBE-4EB7-901F-4763ECF1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7D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8CE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2023-07-03T11:09:00Z</dcterms:created>
  <dcterms:modified xsi:type="dcterms:W3CDTF">2023-11-10T13:19:00Z</dcterms:modified>
</cp:coreProperties>
</file>