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F2" w:rsidRPr="00712C4C" w:rsidRDefault="00D406F2" w:rsidP="00D406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F2" w:rsidRPr="00712C4C" w:rsidRDefault="00D406F2" w:rsidP="00D40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406F2" w:rsidRPr="00712C4C" w:rsidRDefault="00D406F2" w:rsidP="00D40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D406F2" w:rsidRPr="00712C4C" w:rsidRDefault="00D406F2" w:rsidP="00D40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D406F2" w:rsidRDefault="00D406F2" w:rsidP="00D40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2019 года № 446</w:t>
      </w:r>
    </w:p>
    <w:p w:rsidR="00D406F2" w:rsidRPr="00712C4C" w:rsidRDefault="00D406F2" w:rsidP="00D40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F2" w:rsidRPr="00712C4C" w:rsidRDefault="00D406F2" w:rsidP="00D406F2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F2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</w:p>
    <w:p w:rsidR="00D406F2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закупки товаров (работ и услуг) для </w:t>
      </w:r>
      <w:r w:rsidRPr="00712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6F2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«Слободзейское ЖКХ»</w:t>
      </w:r>
    </w:p>
    <w:p w:rsidR="00D406F2" w:rsidRPr="00712C4C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от    </w:t>
      </w:r>
      <w:r w:rsidR="003219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ноября 2024г.</w:t>
      </w:r>
    </w:p>
    <w:p w:rsidR="00D406F2" w:rsidRPr="00712C4C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458"/>
        <w:gridCol w:w="3207"/>
        <w:gridCol w:w="824"/>
        <w:gridCol w:w="1707"/>
        <w:gridCol w:w="1286"/>
        <w:gridCol w:w="1407"/>
        <w:gridCol w:w="1743"/>
      </w:tblGrid>
      <w:tr w:rsidR="00D406F2" w:rsidRPr="00712C4C" w:rsidTr="001D17E7">
        <w:tc>
          <w:tcPr>
            <w:tcW w:w="458" w:type="dxa"/>
          </w:tcPr>
          <w:p w:rsidR="00D406F2" w:rsidRPr="00712C4C" w:rsidRDefault="00D406F2" w:rsidP="001D17E7">
            <w:pPr>
              <w:ind w:left="-102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406F2" w:rsidRPr="00712C4C" w:rsidRDefault="00D406F2" w:rsidP="001D17E7">
            <w:pPr>
              <w:ind w:left="-102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07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67" w:type="dxa"/>
            <w:gridSpan w:val="5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D406F2" w:rsidRPr="00712C4C" w:rsidTr="001D17E7">
        <w:trPr>
          <w:trHeight w:val="372"/>
        </w:trPr>
        <w:tc>
          <w:tcPr>
            <w:tcW w:w="458" w:type="dxa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gridSpan w:val="5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06F2" w:rsidRPr="00712C4C" w:rsidTr="001D17E7">
        <w:tc>
          <w:tcPr>
            <w:tcW w:w="458" w:type="dxa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2C396D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Общая информация о закупке</w:t>
            </w:r>
          </w:p>
        </w:tc>
        <w:tc>
          <w:tcPr>
            <w:tcW w:w="6967" w:type="dxa"/>
            <w:gridSpan w:val="5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F2" w:rsidRPr="00712C4C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6967" w:type="dxa"/>
            <w:gridSpan w:val="5"/>
          </w:tcPr>
          <w:p w:rsidR="00D406F2" w:rsidRPr="00712C4C" w:rsidRDefault="00EB59B2" w:rsidP="006F20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</w:t>
            </w:r>
            <w:r w:rsidR="00FA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406F2" w:rsidRPr="00712C4C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967" w:type="dxa"/>
            <w:gridSpan w:val="5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D406F2" w:rsidRPr="00712C4C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6967" w:type="dxa"/>
            <w:gridSpan w:val="5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средство : автомобиль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техническому заданию.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товаров (работ, услуг)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извещения</w:t>
            </w:r>
          </w:p>
        </w:tc>
        <w:tc>
          <w:tcPr>
            <w:tcW w:w="6967" w:type="dxa"/>
            <w:gridSpan w:val="5"/>
          </w:tcPr>
          <w:p w:rsidR="00D406F2" w:rsidRPr="00736B36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36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736B36" w:rsidRPr="00736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</w:t>
            </w:r>
            <w:r w:rsidRPr="00736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Ноября 2024г.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2C396D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Сведения о заказчике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967" w:type="dxa"/>
            <w:gridSpan w:val="5"/>
          </w:tcPr>
          <w:p w:rsidR="00D406F2" w:rsidRPr="00247EE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«Слободзейское ЖКХ»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967" w:type="dxa"/>
            <w:gridSpan w:val="5"/>
          </w:tcPr>
          <w:p w:rsidR="00D406F2" w:rsidRPr="00247EE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Молдова, ПМР г. Слободзея ул. </w:t>
            </w:r>
            <w:proofErr w:type="spellStart"/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Новосавицкая</w:t>
            </w:r>
            <w:proofErr w:type="spellEnd"/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967" w:type="dxa"/>
            <w:gridSpan w:val="5"/>
          </w:tcPr>
          <w:p w:rsidR="00D406F2" w:rsidRPr="00247EE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5702, Республика Молдова, ПМР г. Слободзея ул. </w:t>
            </w:r>
            <w:proofErr w:type="spellStart"/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Новосавицкая</w:t>
            </w:r>
            <w:proofErr w:type="spellEnd"/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А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67" w:type="dxa"/>
            <w:gridSpan w:val="5"/>
          </w:tcPr>
          <w:p w:rsidR="00D406F2" w:rsidRPr="00247EE6" w:rsidRDefault="00020A70" w:rsidP="001D17E7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  <w:hyperlink r:id="rId5" w:history="1">
              <w:r w:rsidR="00D406F2" w:rsidRPr="00247EE6">
                <w:rPr>
                  <w:rStyle w:val="a6"/>
                  <w:rFonts w:ascii="Helvetica" w:hAnsi="Helvetica"/>
                  <w:color w:val="auto"/>
                  <w:sz w:val="23"/>
                  <w:szCs w:val="23"/>
                  <w:shd w:val="clear" w:color="auto" w:fill="FFFFFF"/>
                </w:rPr>
                <w:t>puykh-akva-rem@mail.ru</w:t>
              </w:r>
            </w:hyperlink>
            <w:r w:rsidR="00D406F2" w:rsidRPr="00247EE6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967" w:type="dxa"/>
            <w:gridSpan w:val="5"/>
          </w:tcPr>
          <w:p w:rsidR="00D406F2" w:rsidRPr="00247EE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(557) 2- 40- 64,   2- 45- 28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2C396D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о процедуре закупки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551E86" w:rsidRDefault="00D406F2" w:rsidP="001D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</w:tcPr>
          <w:p w:rsidR="00D406F2" w:rsidRPr="00551E8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6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6967" w:type="dxa"/>
            <w:gridSpan w:val="5"/>
          </w:tcPr>
          <w:p w:rsidR="00D406F2" w:rsidRPr="00736B36" w:rsidRDefault="00736B36" w:rsidP="008947D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73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406F2" w:rsidRPr="0073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 2024г. </w:t>
            </w:r>
            <w:r w:rsidR="00EB5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B5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 часов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(дата и время окончания регистрации на сайте в глобальной сети </w:t>
            </w:r>
            <w:r w:rsidRPr="0079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6967" w:type="dxa"/>
            <w:gridSpan w:val="5"/>
          </w:tcPr>
          <w:p w:rsidR="00D406F2" w:rsidRDefault="00736B36" w:rsidP="00CB68F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19 </w:t>
            </w:r>
            <w:r w:rsidRPr="00736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</w:t>
            </w:r>
            <w:r w:rsidR="00D406F2" w:rsidRPr="00736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оября 2024г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CB6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B68FC" w:rsidRPr="00CB68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 : 00 часов</w:t>
            </w:r>
            <w:r w:rsidR="00CB6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5702, Республика Молдова, ПМР, г. Слободзея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 А, приемная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967" w:type="dxa"/>
            <w:gridSpan w:val="5"/>
          </w:tcPr>
          <w:p w:rsidR="00D406F2" w:rsidRPr="00FF614D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Заявки на участие в открытом аукционе должны быть 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      </w:r>
            <w:r w:rsidR="00CB68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</w:t>
            </w:r>
            <w:r w:rsidRPr="00760D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ноября 2024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года </w:t>
            </w:r>
            <w:r w:rsidR="00EB59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10:00</w:t>
            </w:r>
            <w:r w:rsidRPr="00760D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местного времени, на адрес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760DB3">
                <w:rPr>
                  <w:rStyle w:val="a6"/>
                  <w:rFonts w:ascii="Helvetica" w:hAnsi="Helvetica"/>
                  <w:b/>
                  <w:sz w:val="23"/>
                  <w:szCs w:val="23"/>
                  <w:shd w:val="clear" w:color="auto" w:fill="FFFFFF"/>
                </w:rPr>
                <w:t>puykh-akva-rem@mail.ru</w:t>
              </w:r>
            </w:hyperlink>
            <w:r w:rsidRPr="00760DB3">
              <w:rPr>
                <w:b/>
                <w:color w:val="919399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Предложения, поступающие на другие адреса электронной почты, не будут  допущены к участию в процедуре открытого аукциона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967" w:type="dxa"/>
            <w:gridSpan w:val="5"/>
          </w:tcPr>
          <w:p w:rsidR="00D406F2" w:rsidRPr="00CB68FC" w:rsidRDefault="00CB68FC" w:rsidP="001D17E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B68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736B36" w:rsidRPr="00CB68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ноября 2024 г.  в 10 : 00 </w:t>
            </w:r>
            <w:r w:rsidR="00D406F2" w:rsidRPr="00CB68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закупки 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Республика Молдова, ПМР, 5702, г. Слободзея 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 А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967" w:type="dxa"/>
            <w:gridSpan w:val="5"/>
          </w:tcPr>
          <w:p w:rsidR="00D406F2" w:rsidRPr="00FD130A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 заявок, окончательных предложений участников закупки осуществляется в соответствии со </w:t>
            </w:r>
            <w:r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статьей 39 Закона Приднестровской Молдавской Республики «О закупках в Приднестровской Молдавской Республике»,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открытого аукциона, подавшие заявки, не соответствующие требованиям, установленным документацией о проведении открытого аукциона, отстраняются, и их заявки не оцениваются.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FF614D" w:rsidRDefault="00D406F2" w:rsidP="001D17E7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Начальная (максимальная) цена контракта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967" w:type="dxa"/>
            <w:gridSpan w:val="5"/>
          </w:tcPr>
          <w:p w:rsidR="00D406F2" w:rsidRPr="00FD130A" w:rsidRDefault="00FD130A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499 500,</w:t>
            </w:r>
            <w:r w:rsidR="00D406F2"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 ПМР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для участников открытого аукциона из ПМР в рублях ПМР;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для участников открытого аукциона, предоставивших заявки в иностранной валюте, будет применен официальный курс иностранной валюты к рублю ПМР, установленный центральным банком Приднестровской Молдавской Республики на дату рассмотрения заявок.</w:t>
            </w:r>
          </w:p>
          <w:p w:rsidR="00D406F2" w:rsidRPr="00736B3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производится в валюте:</w:t>
            </w:r>
          </w:p>
          <w:p w:rsidR="00D406F2" w:rsidRPr="00736B36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резидентам Приднестровской Молдавской Республики в рублях ПМР;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резидентам Приднестровской Молдавской Республики в леях РМ и рублях РФ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Собственные средства 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293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967" w:type="dxa"/>
            <w:gridSpan w:val="5"/>
          </w:tcPr>
          <w:p w:rsidR="00D406F2" w:rsidRDefault="00D406F2" w:rsidP="00FD13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Оплата по факту поставки на склад получателя по адресу: г. Слободзея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14 А , в течении </w:t>
            </w:r>
            <w:r w:rsidR="00FD130A" w:rsidRP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 рабочих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дней, но основании выставленного поставщиком  счета Расчеты по контракту производятся Покупателем в рублях Приднестровской Молдавской Республики, в безналичной форме, путем перечисления денежных средств на расчётный счет Поставщика.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75656F" w:rsidRDefault="00D406F2" w:rsidP="001D17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Информация о предмете (объекте) закупки</w:t>
            </w:r>
          </w:p>
        </w:tc>
        <w:tc>
          <w:tcPr>
            <w:tcW w:w="6967" w:type="dxa"/>
            <w:gridSpan w:val="5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RPr="00712C4C" w:rsidTr="001D17E7">
        <w:tc>
          <w:tcPr>
            <w:tcW w:w="458" w:type="dxa"/>
            <w:vMerge w:val="restart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  <w:vMerge w:val="restart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824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</w:t>
            </w:r>
            <w:r w:rsidRPr="003F0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</w:p>
          <w:p w:rsidR="00D406F2" w:rsidRPr="00712C4C" w:rsidRDefault="00D406F2" w:rsidP="001D17E7">
            <w:pPr>
              <w:ind w:left="-73" w:right="-6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1707" w:type="dxa"/>
            <w:vAlign w:val="center"/>
          </w:tcPr>
          <w:p w:rsidR="00D406F2" w:rsidRPr="00712C4C" w:rsidRDefault="00D406F2" w:rsidP="001D17E7">
            <w:pPr>
              <w:ind w:left="-74" w:right="-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товара (работы, услуги) и его описание</w:t>
            </w:r>
          </w:p>
        </w:tc>
        <w:tc>
          <w:tcPr>
            <w:tcW w:w="1286" w:type="dxa"/>
            <w:vAlign w:val="center"/>
          </w:tcPr>
          <w:p w:rsidR="00D406F2" w:rsidRPr="00712C4C" w:rsidRDefault="00D406F2" w:rsidP="001D17E7">
            <w:pPr>
              <w:ind w:left="-49" w:right="-3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7" w:type="dxa"/>
            <w:vAlign w:val="center"/>
          </w:tcPr>
          <w:p w:rsidR="00D406F2" w:rsidRPr="00712C4C" w:rsidRDefault="00D406F2" w:rsidP="001D17E7">
            <w:pPr>
              <w:ind w:left="-80" w:right="-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43" w:type="dxa"/>
            <w:vAlign w:val="center"/>
          </w:tcPr>
          <w:p w:rsidR="00D406F2" w:rsidRPr="00712C4C" w:rsidRDefault="00D406F2" w:rsidP="001D17E7">
            <w:pPr>
              <w:ind w:left="-7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D406F2" w:rsidRPr="00712C4C" w:rsidTr="001D17E7">
        <w:tc>
          <w:tcPr>
            <w:tcW w:w="458" w:type="dxa"/>
            <w:vMerge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</w:tcPr>
          <w:p w:rsidR="00D406F2" w:rsidRPr="003F007E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Автомобиль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бункеровоз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F0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SKANIA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согласно техническому заданию</w:t>
            </w:r>
          </w:p>
        </w:tc>
        <w:tc>
          <w:tcPr>
            <w:tcW w:w="1286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7" w:type="dxa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</w:tcPr>
          <w:p w:rsidR="00D406F2" w:rsidRPr="003F007E" w:rsidRDefault="00FD130A" w:rsidP="001D17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6967" w:type="dxa"/>
            <w:gridSpan w:val="5"/>
          </w:tcPr>
          <w:p w:rsidR="00FD130A" w:rsidRPr="00FD130A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автотранспорта (спецтехники) должно подтверждаться </w:t>
            </w:r>
            <w:r w:rsidR="00FD130A"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экспертизой на соответствие требованиям и </w:t>
            </w:r>
            <w:proofErr w:type="gramStart"/>
            <w:r w:rsidR="00FD130A"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</w:t>
            </w:r>
            <w:proofErr w:type="gramEnd"/>
            <w:r w:rsidR="00FD130A"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регулирующим сферу безопасности автотранспортных средств, а так же ГОСТам, и иным нормативным требова</w:t>
            </w:r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ниям, установленным действующим</w:t>
            </w:r>
            <w:r w:rsidR="00FD130A" w:rsidRPr="00FD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ПМР</w:t>
            </w:r>
          </w:p>
          <w:p w:rsidR="00FD130A" w:rsidRPr="00FD130A" w:rsidRDefault="00FD130A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Передача автотранспорта (спецтехники) должна производится по акту приема – передачи уполномоченными лицами Поставщика и Заказчика в месте нахождения заказчика (г. Слободзея,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 А).</w:t>
            </w:r>
          </w:p>
          <w:p w:rsidR="00FD4C4D" w:rsidRPr="00FD4C4D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Автомобиль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бункеровоз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SKANIA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техническому состоянию должен соответствовать наработанным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моточасам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указанным в документации и отраженным на счетчике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быть пригодным к эксплуатации, выпущен не ранее 2007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и </w:t>
            </w:r>
            <w:proofErr w:type="gramStart"/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</w:t>
            </w:r>
            <w:r w:rsidR="001D17E7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gramEnd"/>
            <w:r w:rsidR="001D17E7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D4C4D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момента приема – передачи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составлять</w:t>
            </w:r>
            <w:r w:rsidR="00FD4C4D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C4D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(шести)  месяцев.   </w:t>
            </w:r>
          </w:p>
          <w:p w:rsidR="00D406F2" w:rsidRPr="00FD4C4D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подачи заявок на участие в открытом аукционе, потенциальный Поставщик должен предоставить следующие документы:</w:t>
            </w:r>
          </w:p>
          <w:p w:rsidR="00D406F2" w:rsidRPr="00FD4C4D" w:rsidRDefault="00FD4C4D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6F2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заявленные Претендентом технические параметры и характеристики оборудования должны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 техническому заданию.</w:t>
            </w:r>
          </w:p>
          <w:p w:rsidR="00FD4C4D" w:rsidRDefault="00D406F2" w:rsidP="00FD4C4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      </w:r>
            <w:r w:rsidRPr="00ED55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D4C4D" w:rsidRDefault="00FD4C4D" w:rsidP="00FD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(автомобиль – </w:t>
            </w:r>
            <w:proofErr w:type="spellStart"/>
            <w:proofErr w:type="gramStart"/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бункеровоз</w:t>
            </w:r>
            <w:proofErr w:type="spellEnd"/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SKANIA</w:t>
            </w:r>
            <w:proofErr w:type="gramEnd"/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приема – передачи Заказчику </w:t>
            </w:r>
            <w:r w:rsidR="00112A2C"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раннее не использованным на территории Приднестровской Молдавской Республики. </w:t>
            </w:r>
          </w:p>
          <w:p w:rsidR="00FD4C4D" w:rsidRDefault="00112A2C" w:rsidP="00FD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(автомобиль – </w:t>
            </w:r>
            <w:proofErr w:type="spellStart"/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бункеровоз</w:t>
            </w:r>
            <w:proofErr w:type="spellEnd"/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C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SKANIA</w:t>
            </w:r>
            <w:r w:rsidR="00FD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передачи Заказчику должно быть полностью технически обслужено и состоять на учете в ГАИ ПМР.</w:t>
            </w:r>
          </w:p>
          <w:p w:rsidR="00112A2C" w:rsidRPr="00112A2C" w:rsidRDefault="00112A2C" w:rsidP="00FD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технической базы у Поставщика, для дальнейшего технического обслуживания автотранспортного средства </w:t>
            </w:r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(автомобиля – </w:t>
            </w:r>
            <w:proofErr w:type="spellStart"/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бункеровоза</w:t>
            </w:r>
            <w:proofErr w:type="spellEnd"/>
            <w:r w:rsidR="0032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расположенное на расстоянии не </w:t>
            </w:r>
            <w:r w:rsidR="007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км. от базы Заказчика </w:t>
            </w:r>
          </w:p>
          <w:p w:rsidR="001D17E7" w:rsidRPr="00ED558C" w:rsidRDefault="001D17E7" w:rsidP="001D17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ПМР от 25 марта 2020 г. № 198 р «Об утверждении формы заявок участников закупки» и требованиями, указанным в документации о проведении открытого аукциона, порядку подачи заявок в настоящем извещении.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листы поданной в письменной форме заявки должны быть прошиты и пронумерованы. Заявка на участие в закупке должна содержать опись входящих в их состав документов, быть скреплена печатью участника закупки – юридического лица и подписаны участником закупки или лицом им уполномоченным.</w:t>
            </w:r>
          </w:p>
          <w:p w:rsidR="00D406F2" w:rsidRPr="00712C4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заявки на участие в закупке приведена в приложении к закупочной документации.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BE127B" w:rsidRDefault="00D406F2" w:rsidP="001D17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Преимущества, требования к участникам закупки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7B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инвалидов, отечественные импортеры)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 предоставления при определении поставщиков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подрядчиков, исполнителей) участникам закупки преимуществ определяется в соответствии со статьей 19 Закона  Приднестровской Молдавской Республики «О закупках в Приднестровской Молдавской Республике».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Преимущества предоставляются: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учреждениям и организациям уголовно – исполнительной системы;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организации. Применяющие </w:t>
            </w:r>
            <w:r w:rsidR="00404D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 инвалидов;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отечественные производители;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отечественные импортера.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участник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закупки: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отсутствие проведение ликвидации участника закупки 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юридического лица и отсутствие дела о банкротстве;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отсутствие у участника закупки недоимки по налогам, сборам, задолженност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 иным обязательным платежам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бюджет (за исключением сумм, на которые предоставлены отсрочка, рассрочка, которые реструктурированы, по которым имеется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вступившие  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законную силу решения суда о признании обязанности заявителя по уплате этих сумм исполненной или которые признаны безнадёжными к взысканию)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д) отсутствие между участником закупки и заказчиком  конфликта интересов, под которым понимаются случаи, при которых должностное лицо заказчика (руководитель заказчика, член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комиссии по осуществлению закупок), его супруг (супруга), близкий родственник по прямой восходящей или нисходящей линии (отец, мать, дедушка, бабушка, сын, дочь, внук, внучка), полнородный или не 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физическим лицом 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том числе зарегистрированным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качестве индивидуального предпринимателя), являющимся участником закупки;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едино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личным исполнительны </w:t>
            </w:r>
            <w:proofErr w:type="spellStart"/>
            <w:proofErr w:type="gramStart"/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органом,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коллегиального исполнительного органа, членом  коллегиального органа управления, выгодоприобретателем юридического лица, являющегося участником закупки.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Выгодоприобретателем для целей настоящего подпункта является физическое лицо, которое владеет напрямую или косвенно (ч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ерез юридическое лицо или через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нескольк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юридических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лиц) более чем 10 процентов голосующих акций  хозяйственного  общества либо владеет напрямую или косвенно  (через  юридическое лицо или через несколько юридических лиц) долей, превышающей 10 процентов в уставном  (складочном) капитале хозяйственного товарищества или общества.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Информация, указанная в подпункте г) части первой настоящего пункта, подтверждается участником закупки декларацией, форма которой утверждается Правительством Приднестровской Молдавской Республики.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Заявка участника закупки должна</w:t>
            </w:r>
            <w:r w:rsidRPr="003C7A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содержать: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информацию и документы об участнике открытого аукциона, подавшем такую заявку:</w:t>
            </w:r>
          </w:p>
          <w:p w:rsidR="00D406F2" w:rsidRDefault="008947DE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фирменное наименование, сведения 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организационно – правовой форме, о месте нахождения, почтовый адрес (для юридического лица), номер контактного телефона;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выпис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 из единого государственного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реестра юридических лиц или зарегистрированная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 нотариальном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порядке копия такой выписки (для  юридического лица);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документ,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подтверждающий полномочия 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 осуществление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действий  от имени участника открытого аукциона;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копии учредительных документов участника открытого аукциона (для юридического лица);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для иностранного лица: выписка из реестра юридических лиц, доверенность и документ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 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регистрации данного иностранного 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предложения 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участника открытого аукциона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отношении объекта закупки с приложением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документов,  подтверждающих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соответствие этого объекта требованиям,  установленным документацией об открытом аукционе;</w:t>
            </w:r>
          </w:p>
          <w:p w:rsidR="00D406F2" w:rsidRDefault="00D406F2" w:rsidP="00894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докуме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нты подтверждающие 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участника  открытого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аукциона требованиям, установленным  документацией об открытом аукционе;</w:t>
            </w:r>
          </w:p>
          <w:p w:rsidR="00D406F2" w:rsidRDefault="00D406F2" w:rsidP="00894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документ, подтверждающие право участника открытого аукци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она на получение преимущества 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соответствии с нас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тоящим Законом, или копии этих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документов;</w:t>
            </w:r>
          </w:p>
          <w:p w:rsidR="00D406F2" w:rsidRPr="003C7AAC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д) декларация об отсутствии личной заинтересованности.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,1 %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неоплаченной суммы за каждой календарный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 просрочки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но не более 10 % от цены Контракта.</w:t>
            </w:r>
          </w:p>
          <w:p w:rsidR="00D406F2" w:rsidRDefault="00D406F2" w:rsidP="00894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случае просрочки поставки Товара, Покупатель вправе взыскать с Поставщика неустойку (пеню) в размере 0,1 % от стоимости не поставленного в срок това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ра, 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каждый календарный день 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просрочки, но не более 10 %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общей стоимости не поставленного в срок Товара. 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Выплата неустойки не освобождает виновную в нарушении Контрак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 Сторону от выполнения своих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обязательств.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Неустойки / пени оплачиваются в течении 10 (десяти) банковских дней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момента выставления одной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Сторон  соответствующего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требования, путем перечисления  денежных средств на расчетный счет другой Стороны. В случае нарушения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Поставщиком сроков исполнения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обязательств по Контракту, Покуп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атель вправе удержать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неустойки  из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суммы подлежащей оплате по  Контракту.</w:t>
            </w:r>
          </w:p>
          <w:p w:rsidR="00D406F2" w:rsidRDefault="00D406F2" w:rsidP="00894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случае нарушения ср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оков поставки товара более чем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календарных дней,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Покупатель вправе расторгнуть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Контракт в одностороннем порядке, потребовать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 Поставщика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уплаты неустойки в размере 10 % от суммы  Контракта.</w:t>
            </w:r>
          </w:p>
          <w:p w:rsidR="00D406F2" w:rsidRDefault="008947DE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В случае 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необоснованного отказа от поставки товара Поставщиком, одностороннего расторжения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Договора Покупателем по вине Поставщика, Поставщик уплачивает Покупателю неустойку в размере 10 % от </w:t>
            </w:r>
            <w:proofErr w:type="gramStart"/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суммы  договора</w:t>
            </w:r>
            <w:proofErr w:type="gramEnd"/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06F2" w:rsidRDefault="008947DE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случае 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непредставления информации о </w:t>
            </w:r>
            <w:proofErr w:type="gramStart"/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всех  соисполнителях</w:t>
            </w:r>
            <w:proofErr w:type="gramEnd"/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 которыми заключен договор на сумму более 10 % цены настоящего Контракта,  Поставщик уплачивает Покупателю неустойку (пеню) в размере 0,05% от цены договора,  заключенного Поставщиком с соискателем, субподрядчиком, за каждый день просрочки исполнения такого обязательства. 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</w:t>
            </w: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Срок технического обслуживания на Товар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должен  быть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менее 6 (шести) месяцев с момента поставки на основные узлы и детали  Товара. </w:t>
            </w:r>
            <w:r w:rsidR="00112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ехническое обслуживание Товара осуществляется за счет средств </w:t>
            </w:r>
            <w:r w:rsidR="00112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силами Поставщика.</w:t>
            </w:r>
          </w:p>
          <w:p w:rsidR="00D406F2" w:rsidRDefault="008947DE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техническое </w:t>
            </w:r>
            <w:r w:rsidR="00D40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обслуживание включает в себя: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замену дефектных</w:t>
            </w:r>
            <w:r w:rsidR="0089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деталей, устранение сбоев и отказов, возникших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Товаре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23D2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над соблюдением Покупателем </w:t>
            </w:r>
            <w:r w:rsid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своевременности и полноты проведения всех видов технического обслуживания</w:t>
            </w:r>
            <w:r w:rsid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телефонные консультации и выезд специалистов технического центра Поставщи</w:t>
            </w:r>
            <w:r w:rsidR="0089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к Покупателю для устранения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претензии технического характера.</w:t>
            </w:r>
          </w:p>
          <w:p w:rsidR="00CA23D2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осуществляет контроль за </w:t>
            </w:r>
            <w:r w:rsidR="00CA23D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</w:t>
            </w:r>
            <w:r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Покупателем норм</w:t>
            </w:r>
            <w:r w:rsidR="0089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ативно – технических требований </w:t>
            </w:r>
            <w:proofErr w:type="gramStart"/>
            <w:r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эксплуатации</w:t>
            </w:r>
            <w:proofErr w:type="gramEnd"/>
            <w:r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хранению техники. </w:t>
            </w:r>
          </w:p>
          <w:p w:rsidR="00CA23D2" w:rsidRPr="00C77FC1" w:rsidRDefault="008947DE" w:rsidP="00CA2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r w:rsidR="00CA23D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обслуживания </w:t>
            </w:r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принимает предъявляемые требования, </w:t>
            </w:r>
            <w:proofErr w:type="gramStart"/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 с</w:t>
            </w:r>
            <w:proofErr w:type="gramEnd"/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недостатками и нен</w:t>
            </w:r>
            <w:r w:rsid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адлежащим качеством техники. Техническое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техники </w:t>
            </w:r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при условии соблюдения </w:t>
            </w:r>
            <w:proofErr w:type="gramStart"/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Покупателем  требований</w:t>
            </w:r>
            <w:proofErr w:type="gramEnd"/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техники и надлежащей ее </w:t>
            </w:r>
            <w:r w:rsidR="00CA23D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="00D406F2" w:rsidRPr="00CA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06F2" w:rsidRPr="00C77FC1" w:rsidRDefault="00D406F2" w:rsidP="001D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D406F2" w:rsidRPr="0079293E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Align w:val="center"/>
          </w:tcPr>
          <w:p w:rsidR="00D406F2" w:rsidRPr="009B76CC" w:rsidRDefault="00D406F2" w:rsidP="001D17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Условия контракта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7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Место поставки является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база :</w:t>
            </w:r>
            <w:proofErr w:type="gramEnd"/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МУП «Слободзейское ЖКХ» - 5702 г. Слободзея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Новосавицкая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 А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6967" w:type="dxa"/>
            <w:gridSpan w:val="5"/>
          </w:tcPr>
          <w:p w:rsidR="00D406F2" w:rsidRDefault="00D406F2" w:rsidP="008947D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пос</w:t>
            </w:r>
            <w:r w:rsidR="00CA2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тавки всего Товара – не более 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894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пятнадцати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рабочих дней с момента подписания Контракта сторонами. О дате поставки (с указанием точной даты) Поставщик обязан предупредить Покупателя  в письменной форме  не позднее, чем за 3 (три) рабочих дня до предполагаемой даты поставки.</w:t>
            </w:r>
          </w:p>
        </w:tc>
      </w:tr>
      <w:tr w:rsidR="00D406F2" w:rsidTr="001D17E7">
        <w:tc>
          <w:tcPr>
            <w:tcW w:w="458" w:type="dxa"/>
            <w:vAlign w:val="center"/>
          </w:tcPr>
          <w:p w:rsidR="00D406F2" w:rsidRPr="00712C4C" w:rsidRDefault="00D406F2" w:rsidP="001D17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  <w:vAlign w:val="center"/>
          </w:tcPr>
          <w:p w:rsidR="00D406F2" w:rsidRPr="00712C4C" w:rsidRDefault="00D406F2" w:rsidP="001D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4C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6967" w:type="dxa"/>
            <w:gridSpan w:val="5"/>
          </w:tcPr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-расходы, связанные с транспортировкой Товара до места поставки согласно заключенному контракту;</w:t>
            </w:r>
          </w:p>
          <w:p w:rsidR="00D406F2" w:rsidRDefault="00D406F2" w:rsidP="001D17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-разгрузка Товара осуществляется Поставщиком и за его счет.</w:t>
            </w:r>
          </w:p>
        </w:tc>
      </w:tr>
    </w:tbl>
    <w:p w:rsidR="00D406F2" w:rsidRPr="00EF77D3" w:rsidRDefault="00D406F2" w:rsidP="00D406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D406F2" w:rsidRDefault="00D406F2" w:rsidP="00D406F2"/>
    <w:p w:rsidR="001D17E7" w:rsidRDefault="001D17E7" w:rsidP="00D406F2"/>
    <w:p w:rsidR="00CA23D2" w:rsidRDefault="00CA23D2" w:rsidP="00D406F2"/>
    <w:p w:rsidR="0027366E" w:rsidRDefault="0027366E" w:rsidP="00D406F2"/>
    <w:p w:rsidR="0027366E" w:rsidRDefault="0027366E" w:rsidP="00D406F2"/>
    <w:p w:rsidR="00D406F2" w:rsidRDefault="00D406F2" w:rsidP="00D406F2">
      <w:bookmarkStart w:id="0" w:name="_GoBack"/>
      <w:bookmarkEnd w:id="0"/>
    </w:p>
    <w:sectPr w:rsidR="00D406F2" w:rsidSect="00020A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A80"/>
    <w:multiLevelType w:val="multilevel"/>
    <w:tmpl w:val="B7E444D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040B6"/>
    <w:multiLevelType w:val="hybridMultilevel"/>
    <w:tmpl w:val="1C5C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4DCE"/>
    <w:multiLevelType w:val="hybridMultilevel"/>
    <w:tmpl w:val="4C60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52C83"/>
    <w:multiLevelType w:val="hybridMultilevel"/>
    <w:tmpl w:val="FC36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3"/>
    <w:rsid w:val="00020A70"/>
    <w:rsid w:val="00112A2C"/>
    <w:rsid w:val="001D17E7"/>
    <w:rsid w:val="0027366E"/>
    <w:rsid w:val="00321990"/>
    <w:rsid w:val="00404DF8"/>
    <w:rsid w:val="006F2079"/>
    <w:rsid w:val="00736B36"/>
    <w:rsid w:val="007455DB"/>
    <w:rsid w:val="007A5845"/>
    <w:rsid w:val="008947DE"/>
    <w:rsid w:val="008A5F7A"/>
    <w:rsid w:val="008F3CBF"/>
    <w:rsid w:val="009A2BC0"/>
    <w:rsid w:val="009E6125"/>
    <w:rsid w:val="00A2257E"/>
    <w:rsid w:val="00A23A5E"/>
    <w:rsid w:val="00C00CB9"/>
    <w:rsid w:val="00CA23D2"/>
    <w:rsid w:val="00CB68FC"/>
    <w:rsid w:val="00D406F2"/>
    <w:rsid w:val="00D66D70"/>
    <w:rsid w:val="00EB59B2"/>
    <w:rsid w:val="00EF5C73"/>
    <w:rsid w:val="00F94A7D"/>
    <w:rsid w:val="00FA0BAA"/>
    <w:rsid w:val="00FD130A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4478-4638-4E3F-84FC-496CCECE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F2"/>
  </w:style>
  <w:style w:type="paragraph" w:styleId="2">
    <w:name w:val="heading 2"/>
    <w:basedOn w:val="a"/>
    <w:link w:val="20"/>
    <w:qFormat/>
    <w:rsid w:val="00D406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40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6F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406F2"/>
    <w:rPr>
      <w:b/>
      <w:bCs/>
      <w:sz w:val="27"/>
      <w:szCs w:val="27"/>
    </w:rPr>
  </w:style>
  <w:style w:type="character" w:styleId="a3">
    <w:name w:val="Strong"/>
    <w:qFormat/>
    <w:rsid w:val="00D406F2"/>
    <w:rPr>
      <w:b/>
      <w:bCs/>
    </w:rPr>
  </w:style>
  <w:style w:type="table" w:styleId="a4">
    <w:name w:val="Table Grid"/>
    <w:basedOn w:val="a1"/>
    <w:uiPriority w:val="39"/>
    <w:rsid w:val="00D4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6F2"/>
    <w:pPr>
      <w:ind w:left="720"/>
      <w:contextualSpacing/>
    </w:pPr>
  </w:style>
  <w:style w:type="character" w:styleId="a6">
    <w:name w:val="Hyperlink"/>
    <w:basedOn w:val="a0"/>
    <w:unhideWhenUsed/>
    <w:rsid w:val="00D406F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D406F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06F2"/>
    <w:pPr>
      <w:widowControl w:val="0"/>
      <w:shd w:val="clear" w:color="auto" w:fill="FFFFFF"/>
      <w:spacing w:after="0" w:line="274" w:lineRule="exact"/>
      <w:jc w:val="center"/>
    </w:pPr>
  </w:style>
  <w:style w:type="paragraph" w:styleId="a7">
    <w:name w:val="Normal (Web)"/>
    <w:basedOn w:val="a"/>
    <w:uiPriority w:val="99"/>
    <w:semiHidden/>
    <w:unhideWhenUsed/>
    <w:rsid w:val="00D4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ykh-akva-rem@mail.ru" TargetMode="External"/><Relationship Id="rId5" Type="http://schemas.openxmlformats.org/officeDocument/2006/relationships/hyperlink" Target="mailto:puykh-akva-r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11</cp:revision>
  <cp:lastPrinted>2024-11-05T11:39:00Z</cp:lastPrinted>
  <dcterms:created xsi:type="dcterms:W3CDTF">2024-11-03T15:44:00Z</dcterms:created>
  <dcterms:modified xsi:type="dcterms:W3CDTF">2024-11-11T06:53:00Z</dcterms:modified>
</cp:coreProperties>
</file>