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717AE3" w:rsidRDefault="00450FEB" w:rsidP="00450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0FEB" w:rsidRPr="00D61D22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№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450FEB" w:rsidRPr="00D61D22" w:rsidRDefault="00450FEB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>на поставку товара</w:t>
      </w:r>
    </w:p>
    <w:p w:rsidR="00BD65D3" w:rsidRPr="00D61D22" w:rsidRDefault="00BD65D3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65D3" w:rsidRPr="009B558F" w:rsidRDefault="00BD65D3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3D0A4B" w:rsidRDefault="00F571CD" w:rsidP="003C6416">
      <w:pPr>
        <w:tabs>
          <w:tab w:val="left" w:pos="1276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</w:t>
      </w:r>
      <w:r w:rsidR="00F87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именуемое в дальнейшем </w:t>
      </w:r>
      <w:r w:rsidR="00803960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«Поставщик»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государственная администрация Рыбницкого района и г. Рыбницы, именуемое в дальнейшем </w:t>
      </w:r>
      <w:r w:rsidR="00717AE3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«Заказчик»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главы</w:t>
      </w:r>
      <w:proofErr w:type="gramStart"/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AE3" w:rsidRPr="000B26F7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Т</w:t>
      </w:r>
      <w:proofErr w:type="gramEnd"/>
      <w:r w:rsidR="00717AE3" w:rsidRPr="000B26F7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ягай Виктора Викторовича,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 «Управление физической культуры</w:t>
      </w:r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спорта Рыбницкого </w:t>
      </w:r>
      <w:proofErr w:type="gramStart"/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и г. Рыбницы»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</w:t>
      </w:r>
      <w:r w:rsidR="00717AE3" w:rsidRPr="00411F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«Получатель»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начальника </w:t>
      </w:r>
      <w:r w:rsidR="00717AE3" w:rsidRPr="000B26F7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 xml:space="preserve">Головиной </w:t>
      </w:r>
      <w:proofErr w:type="spellStart"/>
      <w:r w:rsidR="00717AE3" w:rsidRPr="000B26F7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Марианы</w:t>
      </w:r>
      <w:proofErr w:type="spellEnd"/>
      <w:r w:rsidR="00717AE3" w:rsidRPr="000B26F7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 xml:space="preserve"> Михайловны,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действующего на основании Устава, с третьей стороны при совместном упоминании именуемые «Стороны», на основании 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протокола запроса предложений по закупке товаров для обеспечения нужд муниципального учреждения  «Управление физической культуры и спорта Рыбницкого района и  г. Рыбницы» </w:t>
      </w:r>
      <w:r w:rsidR="00717AE3" w:rsidRPr="008039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________г.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заключили настоящий контракт (далее – контракт) о нижеследующем:</w:t>
      </w:r>
      <w:proofErr w:type="gramEnd"/>
    </w:p>
    <w:p w:rsidR="00450FEB" w:rsidRPr="003D0A4B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50FEB" w:rsidRPr="003D0A4B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настоящему контракту «Поставщик» обязуется передать в собственность «Получателя» Товар </w:t>
      </w:r>
      <w:r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19742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строительные материалы</w:t>
      </w:r>
      <w:r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  <w:proofErr w:type="gramEnd"/>
    </w:p>
    <w:p w:rsidR="00450FEB" w:rsidRPr="00952906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________ (__________</w:t>
      </w:r>
      <w:r w:rsidR="008039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464BB">
        <w:rPr>
          <w:rFonts w:ascii="Times New Roman" w:eastAsia="Times New Roman" w:hAnsi="Times New Roman" w:cs="Times New Roman"/>
          <w:sz w:val="24"/>
          <w:szCs w:val="24"/>
        </w:rPr>
        <w:t xml:space="preserve"> рублей ПМР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физической культуры и спорта Рыбницкого района и  г. Рыбницы»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0A4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450FEB" w:rsidP="00450FE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Оплата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настоящему Контракту производ</w:t>
      </w:r>
      <w:r w:rsidR="00C16CE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тся «Получателем» в безналичной форме путем перечисления денежных средств в рублях ПМР на расчетный счет «Поставщика» в течении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450FE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– Местный бюджет.</w:t>
      </w:r>
    </w:p>
    <w:p w:rsidR="00450FEB" w:rsidRPr="003D0A4B" w:rsidRDefault="00450FEB" w:rsidP="00450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450FEB" w:rsidRPr="00A202C6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C6">
        <w:rPr>
          <w:rFonts w:ascii="Times New Roman" w:eastAsia="Times New Roman" w:hAnsi="Times New Roman" w:cs="Times New Roman"/>
          <w:sz w:val="24"/>
          <w:szCs w:val="24"/>
        </w:rPr>
        <w:t>Срок поставки товаров: в течение 20 дней с момента подписания уполномоченными представителями сторон контракта.</w:t>
      </w:r>
    </w:p>
    <w:p w:rsidR="00450FEB" w:rsidRPr="00973C4F" w:rsidRDefault="00450FEB" w:rsidP="00450FE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Поставщик» передает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450FEB" w:rsidRPr="0002239D" w:rsidRDefault="0002239D" w:rsidP="0002239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Товара в соответствии с условиями Контракта производится в «Поставщиком» «Получателю» в согласованное время по адресу, согласованному Сторонами.</w:t>
      </w:r>
      <w:r w:rsidR="00450FEB" w:rsidRPr="00022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EB" w:rsidRPr="00457D0C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sz w:val="24"/>
          <w:szCs w:val="24"/>
        </w:rPr>
        <w:t>В момент фактической передачи Товара «Поставщик» и «Получатель» подписывают расходную накладную, подтверждающую переход права собственности на Товар от «Поставщика» к «Получателю».</w:t>
      </w:r>
    </w:p>
    <w:p w:rsidR="00450FEB" w:rsidRPr="00A7703E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lastRenderedPageBreak/>
        <w:t>Рекламационный акт подписывается «Поставщиком» и «Получателем».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3E">
        <w:rPr>
          <w:rFonts w:ascii="Times New Roman" w:eastAsia="Times New Roman" w:hAnsi="Times New Roman" w:cs="Times New Roman"/>
          <w:sz w:val="24"/>
          <w:szCs w:val="24"/>
        </w:rPr>
        <w:t xml:space="preserve">«Поставщик»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>
        <w:rPr>
          <w:rFonts w:ascii="Times New Roman" w:eastAsia="Times New Roman" w:hAnsi="Times New Roman" w:cs="Times New Roman"/>
          <w:sz w:val="24"/>
          <w:szCs w:val="24"/>
        </w:rPr>
        <w:t>«Получателю</w:t>
      </w:r>
      <w:r w:rsidRPr="00A7703E">
        <w:rPr>
          <w:rFonts w:ascii="Times New Roman" w:eastAsia="Times New Roman" w:hAnsi="Times New Roman" w:cs="Times New Roman"/>
          <w:sz w:val="24"/>
          <w:szCs w:val="24"/>
        </w:rPr>
        <w:t>» стоимость некачественного, некомплектного Товара.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«Поставщика» в 10-дневный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:rsidR="00450FEB" w:rsidRPr="00BD65D3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уклонения «Поставщика»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Pr="003D0A4B">
        <w:rPr>
          <w:rFonts w:ascii="Times New Roman" w:eastAsia="Calibri" w:hAnsi="Times New Roman" w:cs="Times New Roman"/>
          <w:sz w:val="24"/>
          <w:szCs w:val="24"/>
        </w:rPr>
        <w:t>. настоящего контракта, «Получатель» вправе поручить исправление выявленных недостатков третьим лицам, при этом «Поставщик» обязан возместить все понесенные в связи с этим расходы в полном объёме в сроки, указанные «Получателем».</w:t>
      </w:r>
    </w:p>
    <w:p w:rsidR="00BD65D3" w:rsidRPr="00952906" w:rsidRDefault="00BD65D3" w:rsidP="00BD6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952906" w:rsidRDefault="00450FEB" w:rsidP="00450F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450FEB" w:rsidRPr="003D0A4B" w:rsidRDefault="00450FEB" w:rsidP="00450FEB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450FEB" w:rsidRPr="003D0A4B" w:rsidRDefault="00450FEB" w:rsidP="00450FEB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</w:t>
      </w:r>
      <w:r w:rsidR="00C16CE2">
        <w:rPr>
          <w:rFonts w:ascii="Times New Roman" w:eastAsia="Times New Roman" w:hAnsi="Times New Roman" w:cs="Times New Roman"/>
          <w:sz w:val="24"/>
          <w:szCs w:val="24"/>
        </w:rPr>
        <w:t xml:space="preserve">упаковки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Товара до момента его передачи «Получателю».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450FEB" w:rsidRPr="003D0A4B" w:rsidRDefault="00450FEB" w:rsidP="00450FEB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450FEB" w:rsidRDefault="00450FEB" w:rsidP="00450FEB">
      <w:pPr>
        <w:pStyle w:val="a4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:rsidR="00450FEB" w:rsidRDefault="00450FEB" w:rsidP="00450FEB">
      <w:pPr>
        <w:pStyle w:val="a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50FEB" w:rsidRPr="000F3DE2" w:rsidRDefault="00450FEB" w:rsidP="00450FEB">
      <w:pPr>
        <w:pStyle w:val="a4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50FEB" w:rsidRPr="003D0A4B" w:rsidRDefault="00450FEB" w:rsidP="00450F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:rsidR="00450FEB" w:rsidRPr="003D0A4B" w:rsidRDefault="00450FEB" w:rsidP="00450FEB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Оплатить Товар в сроки и порядке, установленные настоящим контрактом.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:rsidR="00450FEB" w:rsidRPr="003D0A4B" w:rsidRDefault="00450FEB" w:rsidP="00450F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:rsidR="00450FEB" w:rsidRPr="003D0A4B" w:rsidRDefault="00450FEB" w:rsidP="00450FE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450FEB" w:rsidRPr="0044410C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над исполнением «Поставщиком» условий контракта и гарантийных обязательств.</w:t>
      </w:r>
    </w:p>
    <w:p w:rsidR="00BD65D3" w:rsidRPr="00C3678A" w:rsidRDefault="00450FEB" w:rsidP="00C3678A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исполнением Сторонами принятых на себя обязательств.</w:t>
      </w:r>
    </w:p>
    <w:p w:rsidR="00450FEB" w:rsidRPr="00734807" w:rsidRDefault="00450FEB" w:rsidP="00450FE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450FEB" w:rsidRPr="003D0A4B" w:rsidRDefault="00450FEB" w:rsidP="00450FE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50FEB" w:rsidRPr="003201F4" w:rsidRDefault="00450FEB" w:rsidP="00450FE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случае неисполнения или ненадлежащего исполнения какой-либо из сторон своих обязательств по контракту, виновная сторона уплачивает другой стороне пеню в размере 0,05 % от суммы неисполненного обязательства по настоящему контракту за каждый день просрочки до полного исполнения своих обязанностей. При этом сумма взимаемой пени не должна превышать </w:t>
      </w:r>
      <w:r w:rsidRPr="00105E75">
        <w:rPr>
          <w:rFonts w:ascii="Times New Roman" w:eastAsia="Calibri" w:hAnsi="Times New Roman" w:cs="Times New Roman"/>
          <w:sz w:val="24"/>
          <w:szCs w:val="24"/>
          <w:lang w:eastAsia="en-US"/>
        </w:rPr>
        <w:t>10% от общей суммы настоящего контракта.</w:t>
      </w:r>
    </w:p>
    <w:p w:rsidR="003201F4" w:rsidRPr="00105E75" w:rsidRDefault="003201F4" w:rsidP="003201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:rsidR="000D56F8" w:rsidRPr="006046B4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</w:p>
    <w:p w:rsidR="000D56F8" w:rsidRPr="006046B4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6.2. Гарантия </w:t>
      </w:r>
      <w:r w:rsidR="009800F2">
        <w:rPr>
          <w:rFonts w:ascii="Times New Roman" w:hAnsi="Times New Roman" w:cs="Times New Roman"/>
          <w:sz w:val="24"/>
          <w:szCs w:val="24"/>
        </w:rPr>
        <w:t>Поставщика</w:t>
      </w:r>
      <w:r w:rsidRPr="006046B4">
        <w:rPr>
          <w:rFonts w:ascii="Times New Roman" w:hAnsi="Times New Roman" w:cs="Times New Roman"/>
          <w:sz w:val="24"/>
          <w:szCs w:val="24"/>
        </w:rPr>
        <w:t xml:space="preserve"> распространяется на Товар, эксплуатируемый </w:t>
      </w:r>
      <w:r w:rsidR="009800F2">
        <w:rPr>
          <w:rFonts w:ascii="Times New Roman" w:hAnsi="Times New Roman" w:cs="Times New Roman"/>
          <w:sz w:val="24"/>
          <w:szCs w:val="24"/>
        </w:rPr>
        <w:t>Получателем</w:t>
      </w:r>
      <w:r w:rsidRPr="006046B4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пользованию и условиям Гарантийного талона.</w:t>
      </w:r>
    </w:p>
    <w:p w:rsidR="000D56F8" w:rsidRPr="006046B4" w:rsidRDefault="000D56F8" w:rsidP="006046B4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DB7508">
        <w:rPr>
          <w:rFonts w:ascii="Times New Roman" w:hAnsi="Times New Roman" w:cs="Times New Roman"/>
          <w:sz w:val="24"/>
          <w:szCs w:val="24"/>
        </w:rPr>
        <w:t>Поставщика</w:t>
      </w:r>
      <w:r w:rsidRPr="006046B4">
        <w:rPr>
          <w:rFonts w:ascii="Times New Roman" w:hAnsi="Times New Roman" w:cs="Times New Roman"/>
          <w:sz w:val="24"/>
          <w:szCs w:val="24"/>
        </w:rPr>
        <w:t xml:space="preserve"> не распространяется на Товар:</w:t>
      </w:r>
    </w:p>
    <w:p w:rsidR="00DB7508" w:rsidRPr="006046B4" w:rsidRDefault="000D56F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DB7508" w:rsidRPr="006046B4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DB7508" w:rsidRPr="006046B4">
        <w:rPr>
          <w:rFonts w:ascii="Times New Roman" w:hAnsi="Times New Roman" w:cs="Times New Roman"/>
          <w:sz w:val="24"/>
          <w:szCs w:val="24"/>
        </w:rPr>
        <w:t xml:space="preserve"> видимые механические повреждения;</w:t>
      </w:r>
    </w:p>
    <w:p w:rsidR="00DB7508" w:rsidRPr="006046B4" w:rsidRDefault="00DB750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046B4">
        <w:rPr>
          <w:rFonts w:ascii="Times New Roman" w:hAnsi="Times New Roman" w:cs="Times New Roman"/>
          <w:sz w:val="24"/>
          <w:szCs w:val="24"/>
        </w:rPr>
        <w:t xml:space="preserve"> при попадании внутрь посторонних предметов, жидкостей. </w:t>
      </w:r>
    </w:p>
    <w:p w:rsidR="00C3678A" w:rsidRPr="00DB7508" w:rsidRDefault="00DB7508" w:rsidP="00DB7508">
      <w:pPr>
        <w:tabs>
          <w:tab w:val="num" w:pos="709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0FEB" w:rsidRPr="00DB7508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E75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50FE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201F4" w:rsidRPr="00952906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450FEB" w:rsidRPr="003D0A4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450FE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201F4" w:rsidRPr="00734807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450FEB" w:rsidRPr="003D0A4B" w:rsidRDefault="00450FEB" w:rsidP="00450FE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1F86" w:rsidRPr="00DB7508" w:rsidRDefault="00411F86" w:rsidP="00411F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1F86" w:rsidRPr="00DB7508" w:rsidRDefault="00411F86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Настоящий контра</w:t>
      </w:r>
      <w:proofErr w:type="gramStart"/>
      <w:r w:rsidRPr="00DB7508">
        <w:rPr>
          <w:rFonts w:ascii="Times New Roman" w:eastAsia="Times New Roman" w:hAnsi="Times New Roman"/>
          <w:sz w:val="24"/>
          <w:szCs w:val="24"/>
        </w:rPr>
        <w:t>кт вст</w:t>
      </w:r>
      <w:proofErr w:type="gramEnd"/>
      <w:r w:rsidRPr="00DB7508">
        <w:rPr>
          <w:rFonts w:ascii="Times New Roman" w:eastAsia="Times New Roman" w:hAnsi="Times New Roman"/>
          <w:sz w:val="24"/>
          <w:szCs w:val="24"/>
        </w:rPr>
        <w:t xml:space="preserve">упает в силу с момента его подписания Сторонами и размещения информации, о данном Контракте, в реестре бюджетных обязательств и действует по </w:t>
      </w:r>
      <w:r w:rsidR="00F571CD">
        <w:rPr>
          <w:rFonts w:ascii="Times New Roman" w:eastAsia="Times New Roman" w:hAnsi="Times New Roman"/>
          <w:sz w:val="24"/>
          <w:szCs w:val="24"/>
          <w:u w:val="single"/>
        </w:rPr>
        <w:t>«31» декабря 2024</w:t>
      </w:r>
      <w:r w:rsidRPr="00DB750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DB7508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450FEB" w:rsidRPr="00DB7508" w:rsidRDefault="00450FEB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50FEB" w:rsidRPr="00734807" w:rsidRDefault="00450FEB" w:rsidP="00450FE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450FEB" w:rsidRPr="003D0A4B" w:rsidRDefault="00450FEB" w:rsidP="00450F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 xml:space="preserve">Изменение условий настоящего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Pr="00734807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50FEB" w:rsidRPr="00734807" w:rsidRDefault="00450FEB" w:rsidP="00450FE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BD65D3" w:rsidRPr="006C7A4F" w:rsidTr="00876E77">
        <w:trPr>
          <w:trHeight w:val="113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______________________ В.В. Тягай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555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>«____» ______________ 20__ г.</w:t>
            </w:r>
          </w:p>
          <w:p w:rsidR="00BD65D3" w:rsidRPr="006C7A4F" w:rsidRDefault="00BD65D3" w:rsidP="00876E77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6C7A4F">
              <w:rPr>
                <w:b/>
                <w:sz w:val="24"/>
                <w:szCs w:val="24"/>
              </w:rPr>
              <w:t xml:space="preserve">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Кравченко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ОПО и КП госадминистрации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г. Рыбницы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О.Ю. </w:t>
            </w:r>
            <w:proofErr w:type="spellStart"/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Белогорцева</w:t>
            </w:r>
            <w:proofErr w:type="spellEnd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6C7A4F" w:rsidRDefault="00BD65D3" w:rsidP="00F571C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803960" w:rsidRPr="00803960" w:rsidRDefault="00803960" w:rsidP="00803960">
            <w:pPr>
              <w:spacing w:after="0" w:line="240" w:lineRule="auto"/>
              <w:ind w:left="9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803960" w:rsidRPr="00F86640" w:rsidRDefault="00F86640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____________________ </w:t>
            </w:r>
          </w:p>
          <w:p w:rsidR="00803960" w:rsidRDefault="00803960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«____» ______________ 20__ г.</w:t>
            </w: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03960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803960" w:rsidP="00803960">
            <w:pPr>
              <w:spacing w:after="0"/>
              <w:ind w:left="8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65D3"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D65D3">
              <w:rPr>
                <w:rFonts w:ascii="Times New Roman" w:hAnsi="Times New Roman" w:cs="Times New Roman"/>
                <w:b/>
                <w:sz w:val="24"/>
                <w:szCs w:val="24"/>
              </w:rPr>
              <w:t>лучатель»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 w:rsidRPr="006C7A4F">
              <w:rPr>
                <w:b/>
                <w:sz w:val="24"/>
                <w:szCs w:val="24"/>
              </w:rPr>
              <w:t>МУ «</w:t>
            </w:r>
            <w:proofErr w:type="spellStart"/>
            <w:r w:rsidRPr="006C7A4F">
              <w:rPr>
                <w:b/>
                <w:sz w:val="24"/>
                <w:szCs w:val="24"/>
              </w:rPr>
              <w:t>УФКиС</w:t>
            </w:r>
            <w:proofErr w:type="spellEnd"/>
            <w:r w:rsidRPr="006C7A4F">
              <w:rPr>
                <w:b/>
                <w:sz w:val="24"/>
                <w:szCs w:val="24"/>
              </w:rPr>
              <w:t xml:space="preserve"> 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>
              <w:rPr>
                <w:b/>
                <w:sz w:val="24"/>
                <w:szCs w:val="24"/>
              </w:rPr>
              <w:t>г.Рыбницы</w:t>
            </w:r>
            <w:proofErr w:type="spellEnd"/>
            <w:r w:rsidRPr="006C7A4F">
              <w:rPr>
                <w:b/>
                <w:sz w:val="24"/>
                <w:szCs w:val="24"/>
              </w:rPr>
              <w:t>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F27E21" w:rsidRDefault="00011EDB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>2191420004014076</w:t>
            </w:r>
            <w:r w:rsidR="00BD65D3"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85234" w:rsidRPr="00F27E21" w:rsidRDefault="00D85234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21">
              <w:rPr>
                <w:rFonts w:ascii="Times New Roman" w:hAnsi="Times New Roman" w:cs="Times New Roman"/>
                <w:sz w:val="24"/>
                <w:szCs w:val="24"/>
              </w:rPr>
              <w:t xml:space="preserve">      2191420004014077;</w:t>
            </w:r>
          </w:p>
          <w:p w:rsidR="00D85234" w:rsidRPr="00F27E21" w:rsidRDefault="00D85234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2191420204030118;</w:t>
            </w:r>
          </w:p>
          <w:p w:rsidR="00D85234" w:rsidRPr="00D85234" w:rsidRDefault="00D85234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2191420004001005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20210000094</w:t>
            </w:r>
          </w:p>
          <w:p w:rsidR="00BD65D3" w:rsidRPr="006C7A4F" w:rsidRDefault="00F571CD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>Начальник  МУ «</w:t>
            </w:r>
            <w:proofErr w:type="spellStart"/>
            <w:r w:rsidRPr="006C7A4F">
              <w:rPr>
                <w:sz w:val="24"/>
                <w:szCs w:val="24"/>
              </w:rPr>
              <w:t>УФКиС</w:t>
            </w:r>
            <w:proofErr w:type="spellEnd"/>
            <w:r w:rsidRPr="006C7A4F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 xml:space="preserve">  __________________ </w:t>
            </w:r>
            <w:r w:rsidRPr="000B26F7">
              <w:rPr>
                <w:sz w:val="24"/>
                <w:szCs w:val="24"/>
                <w:highlight w:val="black"/>
              </w:rPr>
              <w:t>М.М. Головина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 w:rsidDel="000569E2">
              <w:rPr>
                <w:sz w:val="24"/>
                <w:szCs w:val="24"/>
              </w:rPr>
              <w:t xml:space="preserve"> </w:t>
            </w:r>
            <w:r w:rsidRPr="006C7A4F">
              <w:rPr>
                <w:sz w:val="24"/>
                <w:szCs w:val="24"/>
              </w:rPr>
              <w:t>«____» ______________ 20__ г.</w:t>
            </w:r>
            <w:r w:rsidRPr="006C7A4F">
              <w:rPr>
                <w:sz w:val="24"/>
                <w:szCs w:val="24"/>
              </w:rPr>
              <w:tab/>
            </w:r>
          </w:p>
          <w:p w:rsidR="00F571CD" w:rsidRPr="00DB7508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F571CD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Рыбницкого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г. Рыбницы»</w:t>
            </w:r>
          </w:p>
          <w:p w:rsidR="00F571CD" w:rsidRPr="00DB7508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Н.М. </w:t>
            </w:r>
            <w:proofErr w:type="spellStart"/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Чубар</w:t>
            </w:r>
            <w:proofErr w:type="spellEnd"/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EB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FEB" w:rsidSect="00BD65D3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к Контракту № _____ </w:t>
      </w: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233B93"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233B93" w:rsidRPr="001317BD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«__»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_________20</w:t>
      </w:r>
      <w:r w:rsidR="00411F86" w:rsidRPr="001317BD">
        <w:rPr>
          <w:rFonts w:ascii="Times New Roman" w:eastAsia="Times New Roman" w:hAnsi="Times New Roman" w:cs="Times New Roman"/>
          <w:sz w:val="20"/>
          <w:szCs w:val="20"/>
        </w:rPr>
        <w:t>2</w:t>
      </w:r>
      <w:r w:rsidR="00F571C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50FEB" w:rsidRDefault="00450FEB" w:rsidP="00450F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FEB" w:rsidRPr="001052E6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52E6">
        <w:rPr>
          <w:rFonts w:ascii="Times New Roman" w:eastAsia="Times New Roman" w:hAnsi="Times New Roman" w:cs="Times New Roman"/>
          <w:b/>
          <w:sz w:val="28"/>
          <w:szCs w:val="24"/>
        </w:rPr>
        <w:t>Спецификация</w:t>
      </w: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:rsidR="00450FEB" w:rsidRPr="001317BD" w:rsidRDefault="00450FEB" w:rsidP="0013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Рыбница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301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«___»________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708"/>
        <w:gridCol w:w="709"/>
        <w:gridCol w:w="1134"/>
        <w:gridCol w:w="1701"/>
      </w:tblGrid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72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6356D" w:rsidRPr="00127221" w:rsidRDefault="00F6356D" w:rsidP="00D76288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544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708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221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22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221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1701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22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чёрный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голубой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серый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светло-серый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жёлтый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коричневый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зелёный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красно-коричневый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2,7 - 2,8 кг цвет шоколад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0,9 кг цвет красный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sz w:val="20"/>
                <w:szCs w:val="20"/>
              </w:rPr>
              <w:t>Эмалевая краска 0,7 кг цвет серебристый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Уайт-спирит 0,9-1 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161848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161848"/>
                <w:sz w:val="20"/>
                <w:szCs w:val="20"/>
              </w:rPr>
              <w:t>Краска водно-дисперсионная 5л (7кг)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161848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161848"/>
                <w:sz w:val="20"/>
                <w:szCs w:val="20"/>
              </w:rPr>
              <w:t>Краска водно-дисперсионная 10л (14кг)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акрилатная14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пигментный концентрат 100 мл цвет жёлтый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резиновая для крыш 6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Грунт-концентрат 1:10;   1-5л.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Грунт-эмаль 3в1 2,7-2,8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Грунт-эмаль 3в1 2,7-2,8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 2,8л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плоская 25х8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плоская 36х8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плоская 50х8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плоская 63х8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плоская 76х14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кисть </w:t>
            </w:r>
            <w:proofErr w:type="spell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макловица</w:t>
            </w:r>
            <w:proofErr w:type="spell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30х110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кисть </w:t>
            </w:r>
            <w:proofErr w:type="spell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макловица</w:t>
            </w:r>
            <w:proofErr w:type="spell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40х140 мм</w:t>
            </w:r>
          </w:p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валик малярный 100х30х6мм  ворс- 9мм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валик малярный 150х15х6мм  ворс-9мм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валик малярный 180х58х8мм, ворс-13мм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шубка для малярного валика  </w:t>
            </w:r>
          </w:p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100х48х6мм  ворс-11мм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шубка для малярного валика </w:t>
            </w:r>
          </w:p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150х15х6мм  ворс-9мм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шубка для малярного валика</w:t>
            </w:r>
          </w:p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180х48х8мм  ворс-11мм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кюветка малярная  165х310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кюветка малярная 320х350мм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</w:t>
            </w:r>
            <w:proofErr w:type="gram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 стр</w:t>
            </w:r>
            <w:proofErr w:type="gram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оительный  </w:t>
            </w:r>
            <w:proofErr w:type="spell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первичка</w:t>
            </w:r>
            <w:proofErr w:type="spell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меш. 25кг.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</w:t>
            </w:r>
            <w:proofErr w:type="gram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 стр</w:t>
            </w:r>
            <w:proofErr w:type="gram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оительный </w:t>
            </w:r>
            <w:proofErr w:type="spell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первичка</w:t>
            </w:r>
            <w:proofErr w:type="spell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меш. 25кг.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плиточный (морозостойкий) 25кг.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ПВА строительный 1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 дисперсионный для камня 2,5л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цемент мешок 40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22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F6356D">
        <w:tc>
          <w:tcPr>
            <w:tcW w:w="817" w:type="dxa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221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песок</w:t>
            </w:r>
            <w:proofErr w:type="gramEnd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мытый мешок 40кг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Pr="00127221" w:rsidRDefault="00F6356D" w:rsidP="00D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6356D" w:rsidRDefault="00F6356D" w:rsidP="00D7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6D" w:rsidRDefault="00F6356D" w:rsidP="00D76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356D" w:rsidRPr="00127221" w:rsidTr="00DC2FD8">
        <w:tc>
          <w:tcPr>
            <w:tcW w:w="6912" w:type="dxa"/>
            <w:gridSpan w:val="5"/>
          </w:tcPr>
          <w:p w:rsidR="00F6356D" w:rsidRPr="00F6356D" w:rsidRDefault="00F6356D" w:rsidP="00F63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6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F6356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56D" w:rsidRDefault="00F6356D" w:rsidP="00D76288">
            <w:pPr>
              <w:jc w:val="right"/>
              <w:rPr>
                <w:color w:val="000000"/>
              </w:rPr>
            </w:pPr>
          </w:p>
        </w:tc>
      </w:tr>
    </w:tbl>
    <w:p w:rsidR="00450FEB" w:rsidRPr="00717AE3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533" w:rsidRPr="00717AE3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E3">
        <w:rPr>
          <w:rFonts w:ascii="Times New Roman" w:eastAsia="Times New Roman" w:hAnsi="Times New Roman" w:cs="Times New Roman"/>
          <w:sz w:val="24"/>
          <w:szCs w:val="24"/>
        </w:rPr>
        <w:t>Общая сумма</w:t>
      </w:r>
      <w:proofErr w:type="gramStart"/>
      <w:r w:rsidRPr="00717A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571CD">
        <w:rPr>
          <w:rStyle w:val="FontStyle22"/>
          <w:b/>
          <w:sz w:val="24"/>
          <w:szCs w:val="24"/>
        </w:rPr>
        <w:t>______</w:t>
      </w:r>
      <w:r w:rsidRPr="00717AE3">
        <w:rPr>
          <w:rStyle w:val="FontStyle22"/>
          <w:b/>
          <w:sz w:val="24"/>
          <w:szCs w:val="24"/>
        </w:rPr>
        <w:t xml:space="preserve"> (</w:t>
      </w:r>
      <w:r w:rsidR="00F571CD">
        <w:rPr>
          <w:rStyle w:val="FontStyle22"/>
          <w:b/>
          <w:sz w:val="24"/>
          <w:szCs w:val="24"/>
        </w:rPr>
        <w:t>_________</w:t>
      </w:r>
      <w:r w:rsidRPr="00717AE3">
        <w:rPr>
          <w:rStyle w:val="FontStyle22"/>
          <w:b/>
          <w:sz w:val="24"/>
          <w:szCs w:val="24"/>
        </w:rPr>
        <w:t xml:space="preserve">) </w:t>
      </w:r>
      <w:proofErr w:type="gramEnd"/>
      <w:r w:rsidRPr="00717AE3">
        <w:rPr>
          <w:rStyle w:val="FontStyle22"/>
          <w:b/>
          <w:sz w:val="24"/>
          <w:szCs w:val="24"/>
        </w:rPr>
        <w:t>рублей ПМР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5006"/>
      </w:tblGrid>
      <w:tr w:rsidR="00BD65D3" w:rsidRPr="00717AE3" w:rsidTr="00F571CD">
        <w:trPr>
          <w:trHeight w:val="11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8B6858" w:rsidRDefault="008B6858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58" w:rsidRDefault="008B6858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Тягай</w:t>
            </w:r>
          </w:p>
          <w:p w:rsidR="00BD65D3" w:rsidRPr="00717AE3" w:rsidRDefault="00BD65D3" w:rsidP="00BD65D3">
            <w:pPr>
              <w:pStyle w:val="3"/>
              <w:spacing w:after="0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>«____» ______________ 20__ г.</w:t>
            </w:r>
          </w:p>
          <w:p w:rsidR="00011EDB" w:rsidRPr="00717AE3" w:rsidRDefault="00BD65D3" w:rsidP="00D70533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 xml:space="preserve"> </w:t>
            </w:r>
          </w:p>
          <w:p w:rsidR="00F86640" w:rsidRDefault="00F86640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________________ В.В. Кравченко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B6858" w:rsidRDefault="00F86640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B6858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960" w:rsidRPr="00803960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6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960" w:rsidRPr="00803960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86640" w:rsidRPr="00F86640" w:rsidRDefault="00F86640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____________________</w:t>
            </w:r>
            <w:r w:rsidRPr="00F8664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86640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sz w:val="24"/>
                <w:szCs w:val="24"/>
              </w:rPr>
              <w:t>«____» ______________ 20__ г.</w:t>
            </w:r>
            <w:r w:rsidR="007356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86640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3569F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«Получатель»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>МУ «</w:t>
            </w:r>
            <w:proofErr w:type="spellStart"/>
            <w:r w:rsidRPr="00717AE3">
              <w:rPr>
                <w:b/>
                <w:sz w:val="24"/>
                <w:szCs w:val="24"/>
              </w:rPr>
              <w:t>УФКиС</w:t>
            </w:r>
            <w:proofErr w:type="spellEnd"/>
            <w:r w:rsidRPr="00717AE3">
              <w:rPr>
                <w:b/>
                <w:sz w:val="24"/>
                <w:szCs w:val="24"/>
              </w:rPr>
              <w:t xml:space="preserve"> 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 w:rsidRPr="00717AE3">
              <w:rPr>
                <w:b/>
                <w:sz w:val="24"/>
                <w:szCs w:val="24"/>
              </w:rPr>
              <w:t>г.Рыбницы</w:t>
            </w:r>
            <w:proofErr w:type="spellEnd"/>
            <w:r w:rsidRPr="00717AE3">
              <w:rPr>
                <w:b/>
                <w:sz w:val="24"/>
                <w:szCs w:val="24"/>
              </w:rPr>
              <w:t>»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D85234" w:rsidRDefault="00BD65D3" w:rsidP="00D85234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D85234" w:rsidRPr="00F571CD" w:rsidRDefault="003201F4" w:rsidP="00D85234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="00D85234" w:rsidRPr="00F571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2191420004014076;</w:t>
            </w:r>
          </w:p>
          <w:p w:rsidR="00D85234" w:rsidRPr="00F571CD" w:rsidRDefault="00D85234" w:rsidP="00D85234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1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2191420004014077;</w:t>
            </w:r>
          </w:p>
          <w:p w:rsidR="00D85234" w:rsidRPr="00F571CD" w:rsidRDefault="00D85234" w:rsidP="00D85234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71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2191420204030118;</w:t>
            </w:r>
          </w:p>
          <w:p w:rsidR="00BD65D3" w:rsidRPr="00717AE3" w:rsidRDefault="00D85234" w:rsidP="00D85234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1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2191420004001005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</w:t>
            </w:r>
            <w:proofErr w:type="gramEnd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717AE3" w:rsidRDefault="00F571CD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</w:p>
          <w:p w:rsidR="00BD65D3" w:rsidRPr="00717AE3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>Начальник  МУ «</w:t>
            </w:r>
            <w:proofErr w:type="spellStart"/>
            <w:r w:rsidRPr="00717AE3">
              <w:rPr>
                <w:sz w:val="24"/>
                <w:szCs w:val="24"/>
              </w:rPr>
              <w:t>УФКиС</w:t>
            </w:r>
            <w:proofErr w:type="spellEnd"/>
            <w:r w:rsidRPr="00717AE3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717AE3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 xml:space="preserve">  __________________ </w:t>
            </w:r>
            <w:r w:rsidRPr="000B26F7">
              <w:rPr>
                <w:sz w:val="24"/>
                <w:szCs w:val="24"/>
                <w:highlight w:val="black"/>
              </w:rPr>
              <w:t>М.М. Головина</w:t>
            </w:r>
          </w:p>
          <w:p w:rsidR="00F571CD" w:rsidRDefault="00BD65D3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 w:rsidDel="000569E2">
              <w:rPr>
                <w:sz w:val="24"/>
                <w:szCs w:val="24"/>
              </w:rPr>
              <w:t xml:space="preserve"> </w:t>
            </w:r>
            <w:r w:rsidRPr="00717AE3">
              <w:rPr>
                <w:sz w:val="24"/>
                <w:szCs w:val="24"/>
              </w:rPr>
              <w:t>«____» ______________ 20__ г.</w:t>
            </w: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Pr="00DB7508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1CD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г. Рыбницы»</w:t>
            </w:r>
          </w:p>
          <w:p w:rsidR="00F571CD" w:rsidRPr="00DB7508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Н.М. </w:t>
            </w:r>
            <w:proofErr w:type="spellStart"/>
            <w:r w:rsidRPr="000B26F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Чубар</w:t>
            </w:r>
            <w:bookmarkStart w:id="2" w:name="_GoBack"/>
            <w:bookmarkEnd w:id="2"/>
            <w:proofErr w:type="spellEnd"/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BD65D3" w:rsidRPr="00717AE3" w:rsidRDefault="00BD65D3" w:rsidP="00F571C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</w:tbl>
    <w:p w:rsidR="00810BBB" w:rsidRDefault="00810BBB" w:rsidP="00F571CD"/>
    <w:sectPr w:rsidR="00810BBB" w:rsidSect="008B6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5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7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6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8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17768"/>
    <w:multiLevelType w:val="multilevel"/>
    <w:tmpl w:val="983482B0"/>
    <w:numStyleLink w:val="7"/>
  </w:abstractNum>
  <w:abstractNum w:abstractNumId="23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4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21"/>
  </w:num>
  <w:num w:numId="5">
    <w:abstractNumId w:val="7"/>
  </w:num>
  <w:num w:numId="6">
    <w:abstractNumId w:val="11"/>
  </w:num>
  <w:num w:numId="7">
    <w:abstractNumId w:val="2"/>
  </w:num>
  <w:num w:numId="8">
    <w:abstractNumId w:val="18"/>
  </w:num>
  <w:num w:numId="9">
    <w:abstractNumId w:val="16"/>
  </w:num>
  <w:num w:numId="10">
    <w:abstractNumId w:val="5"/>
  </w:num>
  <w:num w:numId="11">
    <w:abstractNumId w:val="14"/>
  </w:num>
  <w:num w:numId="12">
    <w:abstractNumId w:val="20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19"/>
  </w:num>
  <w:num w:numId="18">
    <w:abstractNumId w:val="3"/>
  </w:num>
  <w:num w:numId="19">
    <w:abstractNumId w:val="10"/>
  </w:num>
  <w:num w:numId="20">
    <w:abstractNumId w:val="13"/>
  </w:num>
  <w:num w:numId="21">
    <w:abstractNumId w:val="15"/>
  </w:num>
  <w:num w:numId="22">
    <w:abstractNumId w:val="6"/>
  </w:num>
  <w:num w:numId="23">
    <w:abstractNumId w:val="23"/>
  </w:num>
  <w:num w:numId="24">
    <w:abstractNumId w:val="22"/>
    <w:lvlOverride w:ilvl="0">
      <w:lvl w:ilvl="0">
        <w:start w:val="8"/>
        <w:numFmt w:val="decimal"/>
        <w:lvlText w:val="%1."/>
        <w:lvlJc w:val="left"/>
        <w:pPr>
          <w:ind w:left="1774" w:hanging="360"/>
        </w:pPr>
        <w:rPr>
          <w:rFonts w:hint="default"/>
        </w:rPr>
      </w:lvl>
    </w:lvlOverride>
  </w:num>
  <w:num w:numId="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2239D"/>
    <w:rsid w:val="000308AE"/>
    <w:rsid w:val="00067D14"/>
    <w:rsid w:val="000770D9"/>
    <w:rsid w:val="000B26F7"/>
    <w:rsid w:val="000D56F8"/>
    <w:rsid w:val="000F0744"/>
    <w:rsid w:val="001317BD"/>
    <w:rsid w:val="00197423"/>
    <w:rsid w:val="00233B93"/>
    <w:rsid w:val="003201F4"/>
    <w:rsid w:val="00392718"/>
    <w:rsid w:val="003C6416"/>
    <w:rsid w:val="003E237E"/>
    <w:rsid w:val="003F63AE"/>
    <w:rsid w:val="0040217E"/>
    <w:rsid w:val="00411F86"/>
    <w:rsid w:val="00417C00"/>
    <w:rsid w:val="00450FEB"/>
    <w:rsid w:val="004B7816"/>
    <w:rsid w:val="0053742D"/>
    <w:rsid w:val="00560799"/>
    <w:rsid w:val="005F6FBA"/>
    <w:rsid w:val="006031EF"/>
    <w:rsid w:val="006046B4"/>
    <w:rsid w:val="0060489C"/>
    <w:rsid w:val="006E29F3"/>
    <w:rsid w:val="00717AE3"/>
    <w:rsid w:val="00730146"/>
    <w:rsid w:val="0073271C"/>
    <w:rsid w:val="0073569F"/>
    <w:rsid w:val="00783C49"/>
    <w:rsid w:val="007A020D"/>
    <w:rsid w:val="00803960"/>
    <w:rsid w:val="00810BBB"/>
    <w:rsid w:val="00846A6D"/>
    <w:rsid w:val="008B4B00"/>
    <w:rsid w:val="008B6858"/>
    <w:rsid w:val="009309B9"/>
    <w:rsid w:val="00956C0F"/>
    <w:rsid w:val="009800F2"/>
    <w:rsid w:val="00A16180"/>
    <w:rsid w:val="00A202C6"/>
    <w:rsid w:val="00B458A3"/>
    <w:rsid w:val="00BA4BF7"/>
    <w:rsid w:val="00BD3B7F"/>
    <w:rsid w:val="00BD65D3"/>
    <w:rsid w:val="00C16CE2"/>
    <w:rsid w:val="00C3678A"/>
    <w:rsid w:val="00D61D22"/>
    <w:rsid w:val="00D70533"/>
    <w:rsid w:val="00D85234"/>
    <w:rsid w:val="00DB7508"/>
    <w:rsid w:val="00EA2C1E"/>
    <w:rsid w:val="00F27E21"/>
    <w:rsid w:val="00F571CD"/>
    <w:rsid w:val="00F6356D"/>
    <w:rsid w:val="00F86640"/>
    <w:rsid w:val="00F876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2022-06-29T07:11:00Z</cp:lastPrinted>
  <dcterms:created xsi:type="dcterms:W3CDTF">2022-04-20T14:08:00Z</dcterms:created>
  <dcterms:modified xsi:type="dcterms:W3CDTF">2024-07-17T10:29:00Z</dcterms:modified>
</cp:coreProperties>
</file>