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A54310" w:rsidRDefault="00A54310" w:rsidP="00A5431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ПОСТАВКИ ТОВАРА № ________ </w:t>
      </w:r>
    </w:p>
    <w:p w:rsidR="00A54310" w:rsidRDefault="00A54310" w:rsidP="00A5431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tabs>
          <w:tab w:val="left" w:pos="1276"/>
        </w:tabs>
        <w:spacing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поставки товара (далее – Контракт) о нижеследующем: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КОНТРАКТА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6A387C">
        <w:rPr>
          <w:rFonts w:ascii="Times New Roman" w:hAnsi="Times New Roman" w:cs="Times New Roman"/>
          <w:bCs/>
          <w:sz w:val="24"/>
          <w:szCs w:val="24"/>
        </w:rPr>
        <w:t>огнетушител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A387C">
        <w:rPr>
          <w:rFonts w:ascii="Times New Roman" w:hAnsi="Times New Roman" w:cs="Times New Roman"/>
          <w:bCs/>
          <w:sz w:val="24"/>
          <w:szCs w:val="24"/>
        </w:rPr>
        <w:t xml:space="preserve"> и щит пожарн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ассортименте, количестве, по ценам, на условиях настоящего Контракта,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далее – Товар, а Покупатель обязуется принять Товар и оплатить его в порядке, на условиях и в сроки, предусмотренные настоящим Контрактом.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Контракта составляет ____ (сумма прописью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2024 год.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Цена Контракта может изменяться в соответствии с законодательством Приднестровской Молдавской Республики в сфере закупок. 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Контракту за каждую партию Товара производятся в рублях Приднестровской Молдавской Республики, путем перечисления денежных средств на расчетный счет Поставщика, указанный в Контракте, в течение 10 (десяти)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оплате.</w:t>
      </w:r>
    </w:p>
    <w:p w:rsidR="00A54310" w:rsidRDefault="00A54310" w:rsidP="00A54310">
      <w:pPr>
        <w:tabs>
          <w:tab w:val="num" w:pos="1276"/>
          <w:tab w:val="left" w:pos="2977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поступления денежных средств на расчетный счёт Поставщика.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Источник финансирования – собственные средства Покупателя.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A54310" w:rsidRDefault="00A54310" w:rsidP="00A54310">
      <w:pPr>
        <w:tabs>
          <w:tab w:val="left" w:pos="0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ПРИЕМА-ПЕРЕДАЧИ ТОВАРА</w:t>
      </w:r>
    </w:p>
    <w:p w:rsidR="00A54310" w:rsidRPr="00313B9C" w:rsidRDefault="00A54310" w:rsidP="00A5431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оставка Товара осуществляется в течение установленного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для выборки путем передачи Покупателю Товара отдельными партиями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письменной</w:t>
      </w: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заявке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получения заявки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Покупателя. Общий срок выборки Товара устанавливается с момента вступления контракта в силу и по 31 декабря 2024 года.</w:t>
      </w:r>
    </w:p>
    <w:p w:rsidR="00A54310" w:rsidRPr="00313B9C" w:rsidRDefault="00A54310" w:rsidP="00A54310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Товара, согласовывается Сторонами посредством подачи письменной заявки.</w:t>
      </w:r>
    </w:p>
    <w:p w:rsidR="00A54310" w:rsidRPr="00313B9C" w:rsidRDefault="00A54310" w:rsidP="00A54310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уполномоченными представителями товаросопроводительной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10" w:rsidRPr="00313B9C" w:rsidRDefault="00A54310" w:rsidP="00A54310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Товар передается представителю Покупателя, при наличии у него надлежащим образом оформленной доверенности на получение Товара.    </w:t>
      </w:r>
    </w:p>
    <w:p w:rsidR="00A54310" w:rsidRPr="00313B9C" w:rsidRDefault="00A54310" w:rsidP="00A543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 xml:space="preserve">3.5. 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Прием-передача Товара осуществляется с территории склада Поставщика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310" w:rsidRPr="00313B9C" w:rsidRDefault="00A54310" w:rsidP="00A54310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B9C">
        <w:rPr>
          <w:rFonts w:ascii="Times New Roman" w:hAnsi="Times New Roman" w:cs="Times New Roman"/>
          <w:bCs/>
          <w:sz w:val="24"/>
          <w:szCs w:val="24"/>
        </w:rPr>
        <w:t>3.6. Доставка Товара осуществляется транспортом и за счет средств Покупателя.</w:t>
      </w:r>
    </w:p>
    <w:p w:rsidR="00A54310" w:rsidRPr="00313B9C" w:rsidRDefault="00A54310" w:rsidP="00A5431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A54310" w:rsidRPr="00313B9C" w:rsidRDefault="00A54310" w:rsidP="00A5431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Поставщик обязуется за свой счет устранить выявленные недостатки, повреждения Товара не позднее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A54310" w:rsidRPr="00313B9C" w:rsidRDefault="00A54310" w:rsidP="00A5431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3.9.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</w:t>
      </w:r>
      <w:r w:rsidRPr="00313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обязан устранить их своими силами и за свой счет.  </w:t>
      </w:r>
    </w:p>
    <w:p w:rsidR="00A54310" w:rsidRDefault="00A54310" w:rsidP="00A5431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Во всем остальном, что не установлено настоящим Контрактом при обнаружении недостатков Товара, несоответствия Товара установленным требованиям, Стороны руководствуются законодательством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4310" w:rsidRDefault="00A54310" w:rsidP="00A54310">
      <w:pPr>
        <w:numPr>
          <w:ilvl w:val="0"/>
          <w:numId w:val="1"/>
        </w:numPr>
        <w:tabs>
          <w:tab w:val="left" w:pos="993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количестве, ассортименте и по цене, согласно условиям Контракта.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(товаросопроводительная документация, сертификат соответствия (качества), паспорт качества и (или) иной документ о качестве и т.д.).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назначению, требованиям, предъявленным к техническим характеристикам Товара, а также действующим в Приднестровской Молдавской Республике стандартам и техническим условиям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4310" w:rsidRPr="00961F43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дефекты, </w:t>
      </w:r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при приемке Товара.</w:t>
      </w:r>
    </w:p>
    <w:p w:rsidR="00A54310" w:rsidRPr="00961F43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8711806"/>
      <w:bookmarkStart w:id="2" w:name="_Hlk158886627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 случае заключения Поставщиком договора или договоров 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цена которого или общая цена которых составляет более 10 % от цены настоящего Контракта, в течение 10 дней с момента его/их заключения представлять Покупателю информацию обо всех договорах 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54310" w:rsidRPr="00961F43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Нести риск случайного повреждения Товара до момента его передачи Покупателю.</w:t>
      </w:r>
    </w:p>
    <w:bookmarkEnd w:id="1"/>
    <w:p w:rsidR="00A54310" w:rsidRPr="004449C0" w:rsidRDefault="00A54310" w:rsidP="00A54310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Выполнять иные обязанности, предусмотренные законодательством </w:t>
      </w:r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bookmarkEnd w:id="2"/>
      <w:r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Поставщик имеет право:</w:t>
      </w:r>
    </w:p>
    <w:p w:rsidR="00A54310" w:rsidRDefault="00A54310" w:rsidP="00A5431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54310" w:rsidRDefault="00A54310" w:rsidP="00A5431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4.2.2. Требовать подписания Покупателем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товаросопроводительной документации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A54310" w:rsidRDefault="00A54310" w:rsidP="00A54310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Реализовывать иные права, предусмотренные законодательством Приднестровской Молдавской Республики.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A54310" w:rsidRDefault="00A54310" w:rsidP="00A54310">
      <w:pPr>
        <w:tabs>
          <w:tab w:val="left" w:pos="1418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Выполнять иные обязанности, предусмотренные законодательством Приднестровской Молдавской Республики.</w:t>
      </w:r>
    </w:p>
    <w:p w:rsidR="00A54310" w:rsidRDefault="00A54310" w:rsidP="00A5431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bookmarkStart w:id="3" w:name="_Hlk160095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настоящего  Контракта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bookmarkEnd w:id="3"/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A54310" w:rsidRPr="00961F43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</w:t>
      </w: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просрочки до полного исполнения своей обязанности. </w:t>
      </w:r>
    </w:p>
    <w:p w:rsidR="00A54310" w:rsidRPr="00961F43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5.5. </w:t>
      </w:r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заключенных Поставщиком при исполнении настоящего Контракта</w:t>
      </w: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он уплачивает Покупателю пеню в размере 0,05 % от цены договора 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 каждый день просрочки до полного исполнения своей обязанности. Пени подлежат начислению за каждый день просрочки исполнения такого обязательства.</w:t>
      </w:r>
    </w:p>
    <w:p w:rsidR="00A54310" w:rsidRPr="00961F43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Непредставление Поставщиком информации </w:t>
      </w:r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 всех договорах 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субпоставки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961F4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влечет за собой недействительность настоящего Контракта по данному основанию.</w:t>
      </w:r>
    </w:p>
    <w:p w:rsidR="00A54310" w:rsidRPr="004449C0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F4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Любая из Сторон вправе требовать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подтверждение факта нарушения, а также размера убытков и неустойки двусторонними актами. Такой акт должен быть рассмотрен, подписан </w:t>
      </w:r>
      <w:r w:rsidRPr="00445F7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Стороной и возвращен другой Стороне не позднее, чем в течение 10 (десяти) рабочих дней со дня получения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4310" w:rsidRPr="004449C0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Установленные настоящим Контрактом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A54310" w:rsidRPr="004449C0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A54310" w:rsidRDefault="00A54310" w:rsidP="00A54310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Требования по уплате процентов, неустойки и возмещения убытков должны быть исполнены Стороной-должником в течение 10 (десяти)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Товар поставляется в порядке, обеспечивающем его сохранность при надлежащем хранении и транспортировке. 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и комплектность Товара должны соответствовать назначению Товара,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Поставщик гарантирует, что Товар новый, ранее не использованный, не имеет дефектов, соответствует современным достижениям мировой техники, техническим требованиям и удовлетворяет высоким нормам, существующим для данного вида Товара.</w:t>
      </w:r>
    </w:p>
    <w:p w:rsidR="00A54310" w:rsidRPr="00BF125F" w:rsidRDefault="00A54310" w:rsidP="00A5431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качества и (или) иным документом качества.</w:t>
      </w:r>
    </w:p>
    <w:p w:rsidR="00A54310" w:rsidRDefault="00A54310" w:rsidP="00A5431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F12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Арбитражном суде Приднестровской Молдавской Республики.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A54310" w:rsidRDefault="00A54310" w:rsidP="00A54310">
      <w:pPr>
        <w:tabs>
          <w:tab w:val="left" w:pos="1276"/>
          <w:tab w:val="left" w:pos="15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A54310" w:rsidRDefault="00A54310" w:rsidP="00A54310">
      <w:pPr>
        <w:tabs>
          <w:tab w:val="left" w:pos="1276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A54310" w:rsidRDefault="00A54310" w:rsidP="00A5431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РЕКВИЗИТЫ, ПОДПИСИ СТОРОН</w:t>
      </w:r>
    </w:p>
    <w:p w:rsidR="00A54310" w:rsidRDefault="00A54310" w:rsidP="00A5431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A54310" w:rsidTr="009C0769">
        <w:trPr>
          <w:trHeight w:val="400"/>
        </w:trPr>
        <w:tc>
          <w:tcPr>
            <w:tcW w:w="4332" w:type="dxa"/>
          </w:tcPr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</w:tc>
        <w:tc>
          <w:tcPr>
            <w:tcW w:w="4788" w:type="dxa"/>
          </w:tcPr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0200045198, КУБ 29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2024 г.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поставки товара </w:t>
      </w: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2024г. № _______</w:t>
      </w:r>
    </w:p>
    <w:p w:rsidR="00A54310" w:rsidRDefault="00A54310" w:rsidP="00A54310">
      <w:pPr>
        <w:spacing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2024 г.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870"/>
        <w:gridCol w:w="911"/>
        <w:gridCol w:w="912"/>
        <w:gridCol w:w="1957"/>
        <w:gridCol w:w="1823"/>
      </w:tblGrid>
      <w:tr w:rsidR="00A54310" w:rsidRPr="00B83729" w:rsidTr="009C0769">
        <w:trPr>
          <w:trHeight w:val="1136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и основные характеристики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товара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3729">
              <w:rPr>
                <w:rFonts w:ascii="Times New Roman" w:hAnsi="Times New Roman" w:cs="Times New Roman"/>
                <w:b/>
              </w:rPr>
              <w:t xml:space="preserve">цена за единицу </w:t>
            </w:r>
            <w:r>
              <w:rPr>
                <w:rFonts w:ascii="Times New Roman" w:hAnsi="Times New Roman" w:cs="Times New Roman"/>
                <w:b/>
              </w:rPr>
              <w:t>руб. ПМР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 контракта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 ПМР</w:t>
            </w:r>
          </w:p>
        </w:tc>
      </w:tr>
      <w:tr w:rsidR="00A54310" w:rsidRPr="00B83729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Pr="00E264EA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54310" w:rsidRPr="00E264EA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64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10" w:rsidRPr="00E264EA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26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Огнетушители и щит пожарный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4310" w:rsidRPr="00663B6E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310" w:rsidRPr="00663B6E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 -9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310" w:rsidRPr="00663B6E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ОП-5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310" w:rsidRPr="00663B6E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Огнетушитель ОУ -5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310" w:rsidRPr="00663B6E" w:rsidTr="009C0769">
        <w:trPr>
          <w:trHeight w:val="122"/>
        </w:trPr>
        <w:tc>
          <w:tcPr>
            <w:tcW w:w="651" w:type="dxa"/>
            <w:tcBorders>
              <w:top w:val="single" w:sz="4" w:space="0" w:color="auto"/>
            </w:tcBorders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пожарный ЩП-В напольный открытый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285B4C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10" w:rsidRPr="00663B6E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310" w:rsidRPr="00B83729" w:rsidTr="009C0769">
        <w:trPr>
          <w:trHeight w:val="122"/>
        </w:trPr>
        <w:tc>
          <w:tcPr>
            <w:tcW w:w="7301" w:type="dxa"/>
            <w:gridSpan w:val="5"/>
            <w:tcBorders>
              <w:top w:val="single" w:sz="4" w:space="0" w:color="auto"/>
            </w:tcBorders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37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10" w:rsidRPr="00B83729" w:rsidRDefault="00A54310" w:rsidP="009C07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Приднестровской Молдавской Республики.</w:t>
      </w:r>
    </w:p>
    <w:p w:rsidR="00A54310" w:rsidRDefault="00A54310" w:rsidP="00A5431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10" w:rsidRDefault="00A54310" w:rsidP="00A5431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БАНКОВСКИЕ РЕКВИЗИТЫ И ПОДПИСИ СТОРОН</w:t>
      </w:r>
    </w:p>
    <w:p w:rsidR="00A54310" w:rsidRDefault="00A54310" w:rsidP="00A54310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2"/>
        <w:gridCol w:w="4788"/>
      </w:tblGrid>
      <w:tr w:rsidR="00A54310" w:rsidTr="009C0769">
        <w:trPr>
          <w:trHeight w:val="400"/>
        </w:trPr>
        <w:tc>
          <w:tcPr>
            <w:tcW w:w="4332" w:type="dxa"/>
            <w:hideMark/>
          </w:tcPr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</w:tc>
        <w:tc>
          <w:tcPr>
            <w:tcW w:w="4788" w:type="dxa"/>
          </w:tcPr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0200045198 КУБ 29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A54310" w:rsidRDefault="00A54310" w:rsidP="009C076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8B3" w:rsidRDefault="00D728B3"/>
    <w:sectPr w:rsidR="00D7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2"/>
    <w:rsid w:val="004158D2"/>
    <w:rsid w:val="00A54310"/>
    <w:rsid w:val="00D7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97B5-0A88-4A93-B96B-55A5A18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14134</Characters>
  <Application>Microsoft Office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2024-03-11T12:17:00Z</dcterms:created>
  <dcterms:modified xsi:type="dcterms:W3CDTF">2024-03-11T12:17:00Z</dcterms:modified>
</cp:coreProperties>
</file>