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1C436878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4E1C">
        <w:rPr>
          <w:rFonts w:ascii="Times New Roman" w:hAnsi="Times New Roman" w:cs="Times New Roman"/>
          <w:sz w:val="24"/>
          <w:szCs w:val="24"/>
        </w:rPr>
        <w:t>«__»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6D051AE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44E1C">
        <w:rPr>
          <w:rFonts w:ascii="Times New Roman" w:eastAsia="Times New Roman" w:hAnsi="Times New Roman" w:cs="Times New Roman"/>
          <w:sz w:val="24"/>
          <w:szCs w:val="24"/>
          <w:lang w:bidi="ru-RU"/>
        </w:rPr>
        <w:t>____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_____ от  «___» ______________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347C3B8B" w14:textId="79EEE534" w:rsidR="00344E1C" w:rsidRDefault="00A94812" w:rsidP="00F2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08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 w:rsidRPr="00ED1408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ED1408">
        <w:rPr>
          <w:rFonts w:ascii="Times New Roman" w:hAnsi="Times New Roman" w:cs="Times New Roman"/>
          <w:sz w:val="24"/>
          <w:szCs w:val="24"/>
        </w:rPr>
        <w:t xml:space="preserve">по </w:t>
      </w:r>
      <w:r w:rsidR="0069221A" w:rsidRPr="00ED1408">
        <w:rPr>
          <w:rFonts w:ascii="Times New Roman" w:hAnsi="Times New Roman" w:cs="Times New Roman"/>
          <w:sz w:val="24"/>
          <w:szCs w:val="24"/>
        </w:rPr>
        <w:t>ремонту фасада здания</w:t>
      </w:r>
      <w:r w:rsidR="000126F2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Pr="00ED1408">
        <w:rPr>
          <w:rFonts w:ascii="Times New Roman" w:hAnsi="Times New Roman" w:cs="Times New Roman"/>
          <w:sz w:val="24"/>
          <w:szCs w:val="24"/>
        </w:rPr>
        <w:t xml:space="preserve">(далее – Работы) </w:t>
      </w:r>
      <w:r w:rsidR="000126F2" w:rsidRPr="00ED1408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69221A" w:rsidRPr="00ED1408">
        <w:rPr>
          <w:rFonts w:ascii="Times New Roman" w:hAnsi="Times New Roman" w:cs="Times New Roman"/>
          <w:sz w:val="24"/>
          <w:szCs w:val="24"/>
        </w:rPr>
        <w:t>МУ «Управление народного образования города Бендеры», расположенного по адресу: г. Бендеры, ул. Суворова 57</w:t>
      </w:r>
      <w:r w:rsidR="000126F2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Pr="00ED1408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ED1408">
        <w:rPr>
          <w:rFonts w:ascii="Times New Roman" w:hAnsi="Times New Roman" w:cs="Times New Roman"/>
          <w:sz w:val="24"/>
          <w:szCs w:val="24"/>
        </w:rPr>
        <w:t>,</w:t>
      </w:r>
      <w:r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ED1408">
        <w:rPr>
          <w:rFonts w:ascii="Times New Roman" w:hAnsi="Times New Roman" w:cs="Times New Roman"/>
          <w:sz w:val="24"/>
          <w:szCs w:val="24"/>
        </w:rPr>
        <w:t xml:space="preserve">а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F27B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01F04251" w14:textId="57450DA5" w:rsidR="0069221A" w:rsidRPr="00ED1408" w:rsidRDefault="00344E1C" w:rsidP="0069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408"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ED1408">
        <w:rPr>
          <w:rFonts w:ascii="Times New Roman" w:hAnsi="Times New Roman" w:cs="Times New Roman"/>
          <w:sz w:val="24"/>
          <w:szCs w:val="24"/>
        </w:rPr>
        <w:t xml:space="preserve">. Договор заключён  </w:t>
      </w:r>
      <w:r w:rsidR="00144696" w:rsidRPr="00ED1408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ED1408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ED140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ED140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ED1408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ED1408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ED1408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 w:rsidRPr="00ED1408">
        <w:rPr>
          <w:rFonts w:ascii="Times New Roman" w:hAnsi="Times New Roman" w:cs="Times New Roman"/>
          <w:sz w:val="24"/>
          <w:szCs w:val="24"/>
        </w:rPr>
        <w:t>,</w:t>
      </w:r>
      <w:r w:rsidR="00144696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69221A" w:rsidRPr="00ED1408">
        <w:rPr>
          <w:rFonts w:ascii="Times New Roman" w:hAnsi="Times New Roman" w:cs="Times New Roman"/>
          <w:sz w:val="24"/>
          <w:szCs w:val="24"/>
        </w:rPr>
        <w:t>Решением № 9 от 10 февраля 2022 года 23 сессии 26 созыва Бендерского городского Совета народных депутатов «О Целевой программе капитального ремонта жилого фонда, объектов социально-культурного назначения и благоустройства территории города Бендеры на 2022 год» с изменениями и дополнениями, внесенными Решением № 32 от 14 июля 2022 года 28 сессии 26 созыва Бендерского городского Совета народных депутатов (пункт 2.1 раздела 2 Приложения к Решению № 32 от 14.07.2022г. 28 сессии 26 созыва).</w:t>
      </w:r>
    </w:p>
    <w:p w14:paraId="6F16C96F" w14:textId="579ECB76" w:rsidR="00D0241C" w:rsidRPr="00B52894" w:rsidRDefault="00D0241C" w:rsidP="00D0241C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94FB1E4" w14:textId="5D7DDEA2" w:rsidR="000317EA" w:rsidRPr="006956DE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Pr="00ED1408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408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</w:t>
      </w:r>
      <w:r w:rsidR="00FC51F7" w:rsidRPr="00ED1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 xml:space="preserve">местный </w:t>
      </w:r>
      <w:r w:rsidR="00C97433" w:rsidRPr="00ED1408">
        <w:rPr>
          <w:rFonts w:ascii="Times New Roman" w:eastAsia="Calibri" w:hAnsi="Times New Roman" w:cs="Times New Roman"/>
          <w:sz w:val="24"/>
          <w:szCs w:val="24"/>
        </w:rPr>
        <w:t>бюджет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 xml:space="preserve"> (Средства Целевой Программы «С</w:t>
      </w:r>
      <w:r w:rsidR="00C97433" w:rsidRPr="00ED1408">
        <w:rPr>
          <w:rFonts w:ascii="Times New Roman" w:eastAsia="Calibri" w:hAnsi="Times New Roman" w:cs="Times New Roman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>»</w:t>
      </w:r>
      <w:r w:rsidR="00C97433" w:rsidRPr="00ED1408">
        <w:rPr>
          <w:rFonts w:ascii="Times New Roman" w:eastAsia="Calibri" w:hAnsi="Times New Roman" w:cs="Times New Roman"/>
          <w:sz w:val="24"/>
          <w:szCs w:val="24"/>
        </w:rPr>
        <w:t>)</w:t>
      </w:r>
      <w:r w:rsidR="00F27B3A" w:rsidRPr="00ED14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EBFD" w14:textId="2A3227CF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2C2B59C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16D240F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</w:t>
      </w:r>
      <w:r w:rsidR="00816CC6" w:rsidRPr="00ED1408">
        <w:rPr>
          <w:rFonts w:ascii="Times New Roman" w:hAnsi="Times New Roman" w:cs="Times New Roman"/>
          <w:sz w:val="24"/>
          <w:szCs w:val="24"/>
        </w:rPr>
        <w:t xml:space="preserve">завершить их выполнение не позднее </w:t>
      </w:r>
      <w:r w:rsidR="005C2958" w:rsidRPr="00ED1408">
        <w:rPr>
          <w:rFonts w:ascii="Times New Roman" w:hAnsi="Times New Roman" w:cs="Times New Roman"/>
          <w:sz w:val="24"/>
          <w:szCs w:val="24"/>
        </w:rPr>
        <w:t xml:space="preserve">31 </w:t>
      </w:r>
      <w:r w:rsidR="0069221A" w:rsidRPr="00ED1408">
        <w:rPr>
          <w:rFonts w:ascii="Times New Roman" w:hAnsi="Times New Roman" w:cs="Times New Roman"/>
          <w:sz w:val="24"/>
          <w:szCs w:val="24"/>
        </w:rPr>
        <w:t>октябр</w:t>
      </w:r>
      <w:r w:rsidR="005C2958" w:rsidRPr="00ED1408">
        <w:rPr>
          <w:rFonts w:ascii="Times New Roman" w:hAnsi="Times New Roman" w:cs="Times New Roman"/>
          <w:sz w:val="24"/>
          <w:szCs w:val="24"/>
        </w:rPr>
        <w:t>я</w:t>
      </w:r>
      <w:r w:rsidR="00C77117" w:rsidRPr="00ED1408">
        <w:rPr>
          <w:rFonts w:ascii="Times New Roman" w:hAnsi="Times New Roman" w:cs="Times New Roman"/>
          <w:sz w:val="24"/>
          <w:szCs w:val="24"/>
        </w:rPr>
        <w:t xml:space="preserve"> 202</w:t>
      </w:r>
      <w:r w:rsidR="00D01D4D" w:rsidRPr="00ED1408">
        <w:rPr>
          <w:rFonts w:ascii="Times New Roman" w:hAnsi="Times New Roman" w:cs="Times New Roman"/>
          <w:sz w:val="24"/>
          <w:szCs w:val="24"/>
        </w:rPr>
        <w:t>2</w:t>
      </w:r>
      <w:r w:rsidR="00C77117" w:rsidRPr="00ED1408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ED1408">
        <w:rPr>
          <w:rFonts w:ascii="Times New Roman" w:hAnsi="Times New Roman" w:cs="Times New Roman"/>
          <w:sz w:val="24"/>
          <w:szCs w:val="24"/>
        </w:rPr>
        <w:t>а</w:t>
      </w:r>
      <w:r w:rsidR="00793C91" w:rsidRPr="00ED1408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ED1408">
        <w:rPr>
          <w:rFonts w:ascii="Times New Roman" w:hAnsi="Times New Roman" w:cs="Times New Roman"/>
          <w:sz w:val="24"/>
          <w:szCs w:val="24"/>
        </w:rPr>
        <w:t xml:space="preserve">(конечный срок выполнения </w:t>
      </w:r>
      <w:r w:rsidR="00816CC6" w:rsidRPr="006956DE">
        <w:rPr>
          <w:rFonts w:ascii="Times New Roman" w:hAnsi="Times New Roman" w:cs="Times New Roman"/>
          <w:sz w:val="24"/>
          <w:szCs w:val="24"/>
        </w:rPr>
        <w:t>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028CD380" w:rsidR="0013707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</w:t>
      </w:r>
      <w:r w:rsidR="005E7AE9" w:rsidRPr="006956DE">
        <w:rPr>
          <w:rFonts w:ascii="Times New Roman" w:hAnsi="Times New Roman"/>
          <w:sz w:val="24"/>
          <w:szCs w:val="24"/>
        </w:rPr>
        <w:lastRenderedPageBreak/>
        <w:t xml:space="preserve">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>В противном случае «Заказчик» в этот же срок направляет 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66B827CF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3F085BBF" w14:textId="77777777" w:rsidR="00E55630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EB481A2" w14:textId="77777777" w:rsidR="00E55630" w:rsidRPr="00926239" w:rsidRDefault="00E55630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21A404" w14:textId="386F66C4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221B2CED" w14:textId="61A0F0B5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</w:t>
      </w:r>
      <w:r w:rsidR="0069221A">
        <w:rPr>
          <w:rFonts w:ascii="Times New Roman" w:hAnsi="Times New Roman" w:cs="Times New Roman"/>
          <w:sz w:val="24"/>
          <w:szCs w:val="24"/>
        </w:rPr>
        <w:t>8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17EAEA1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6922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1DB9F332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63C9" w14:textId="77777777" w:rsidR="006B31E5" w:rsidRPr="004104D1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</w:t>
      </w:r>
      <w:r w:rsidR="00BB41DB" w:rsidRPr="006956DE">
        <w:rPr>
          <w:rFonts w:ascii="Times New Roman" w:hAnsi="Times New Roman" w:cs="Times New Roman"/>
          <w:sz w:val="24"/>
          <w:szCs w:val="24"/>
        </w:rPr>
        <w:lastRenderedPageBreak/>
        <w:t>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466AEFC1" w14:textId="77777777" w:rsidR="00B1751A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A2D9" w14:textId="77777777" w:rsidR="00B1751A" w:rsidRPr="006956DE" w:rsidRDefault="00B1751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6956DE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1832E2E5" w:rsidR="00991F17" w:rsidRPr="00ED1408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 xml:space="preserve">исполнении допускается </w:t>
      </w:r>
      <w:r w:rsidR="00991F17" w:rsidRPr="00ED1408">
        <w:rPr>
          <w:rFonts w:ascii="Times New Roman" w:hAnsi="Times New Roman" w:cs="Times New Roman"/>
          <w:sz w:val="24"/>
          <w:szCs w:val="24"/>
        </w:rPr>
        <w:t>по соглашению сторон в случаях, предусмотренных Законом о закупках</w:t>
      </w:r>
      <w:r w:rsidR="0069221A" w:rsidRPr="00ED1408">
        <w:rPr>
          <w:rFonts w:ascii="Times New Roman" w:hAnsi="Times New Roman" w:cs="Times New Roman"/>
          <w:sz w:val="24"/>
          <w:szCs w:val="24"/>
        </w:rPr>
        <w:t xml:space="preserve">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9221A" w:rsidRPr="00ED140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9221A" w:rsidRPr="00ED1408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</w:t>
      </w:r>
      <w:bookmarkStart w:id="0" w:name="_GoBack"/>
      <w:r w:rsidR="0069221A" w:rsidRPr="00ED1408">
        <w:rPr>
          <w:rFonts w:ascii="Times New Roman" w:hAnsi="Times New Roman" w:cs="Times New Roman"/>
          <w:sz w:val="24"/>
          <w:szCs w:val="24"/>
        </w:rPr>
        <w:t>2020-2022 годах» (САЗ 20-15)</w:t>
      </w:r>
      <w:r w:rsidR="00991F17" w:rsidRPr="00ED140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A07C" w14:textId="77777777" w:rsidR="00861D2D" w:rsidRDefault="00861D2D" w:rsidP="002E7DF1">
      <w:pPr>
        <w:spacing w:after="0" w:line="240" w:lineRule="auto"/>
      </w:pPr>
      <w:r>
        <w:separator/>
      </w:r>
    </w:p>
  </w:endnote>
  <w:endnote w:type="continuationSeparator" w:id="0">
    <w:p w14:paraId="37B80AA9" w14:textId="77777777" w:rsidR="00861D2D" w:rsidRDefault="00861D2D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DD18E" w14:textId="77777777" w:rsidR="00861D2D" w:rsidRDefault="00861D2D" w:rsidP="002E7DF1">
      <w:pPr>
        <w:spacing w:after="0" w:line="240" w:lineRule="auto"/>
      </w:pPr>
      <w:r>
        <w:separator/>
      </w:r>
    </w:p>
  </w:footnote>
  <w:footnote w:type="continuationSeparator" w:id="0">
    <w:p w14:paraId="4140C4DC" w14:textId="77777777" w:rsidR="00861D2D" w:rsidRDefault="00861D2D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11EA5"/>
    <w:rsid w:val="0012066C"/>
    <w:rsid w:val="00134151"/>
    <w:rsid w:val="001356DC"/>
    <w:rsid w:val="00137078"/>
    <w:rsid w:val="00144696"/>
    <w:rsid w:val="00151AF0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72A37"/>
    <w:rsid w:val="005853A9"/>
    <w:rsid w:val="005A14CD"/>
    <w:rsid w:val="005C2958"/>
    <w:rsid w:val="005C6235"/>
    <w:rsid w:val="005E7AE9"/>
    <w:rsid w:val="005F1EA1"/>
    <w:rsid w:val="005F6DC6"/>
    <w:rsid w:val="00612995"/>
    <w:rsid w:val="006749D6"/>
    <w:rsid w:val="0069221A"/>
    <w:rsid w:val="00694500"/>
    <w:rsid w:val="006956DE"/>
    <w:rsid w:val="006A56CF"/>
    <w:rsid w:val="006B31E5"/>
    <w:rsid w:val="006C5FAE"/>
    <w:rsid w:val="006F7352"/>
    <w:rsid w:val="00741563"/>
    <w:rsid w:val="00760E68"/>
    <w:rsid w:val="00763E6C"/>
    <w:rsid w:val="0077526A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1D2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A48BA"/>
    <w:rsid w:val="009B45C0"/>
    <w:rsid w:val="009B53C0"/>
    <w:rsid w:val="009C0730"/>
    <w:rsid w:val="009D6B57"/>
    <w:rsid w:val="009F5D54"/>
    <w:rsid w:val="00A20572"/>
    <w:rsid w:val="00A26269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7495"/>
    <w:rsid w:val="00C7245F"/>
    <w:rsid w:val="00C77117"/>
    <w:rsid w:val="00C9137A"/>
    <w:rsid w:val="00C91C8E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585D"/>
    <w:rsid w:val="00D7033F"/>
    <w:rsid w:val="00D72E4E"/>
    <w:rsid w:val="00DA6AB2"/>
    <w:rsid w:val="00DB4124"/>
    <w:rsid w:val="00DD43F4"/>
    <w:rsid w:val="00DE7D2B"/>
    <w:rsid w:val="00E1180A"/>
    <w:rsid w:val="00E34F4B"/>
    <w:rsid w:val="00E37924"/>
    <w:rsid w:val="00E409F3"/>
    <w:rsid w:val="00E51D78"/>
    <w:rsid w:val="00E55630"/>
    <w:rsid w:val="00E65B67"/>
    <w:rsid w:val="00EA6FD0"/>
    <w:rsid w:val="00EC54DB"/>
    <w:rsid w:val="00ED1408"/>
    <w:rsid w:val="00ED4812"/>
    <w:rsid w:val="00EE0D42"/>
    <w:rsid w:val="00EE417B"/>
    <w:rsid w:val="00EF6EAD"/>
    <w:rsid w:val="00F007D5"/>
    <w:rsid w:val="00F037E3"/>
    <w:rsid w:val="00F27B3A"/>
    <w:rsid w:val="00F34C31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  <w15:docId w15:val="{31AE93E3-645F-4F97-9D54-1425BB64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2021-07-16T10:44:00Z</cp:lastPrinted>
  <dcterms:created xsi:type="dcterms:W3CDTF">2022-02-26T09:13:00Z</dcterms:created>
  <dcterms:modified xsi:type="dcterms:W3CDTF">2022-08-09T06:55:00Z</dcterms:modified>
</cp:coreProperties>
</file>