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EC" w:rsidRPr="002F4915" w:rsidRDefault="007A16EC" w:rsidP="00A056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915">
        <w:rPr>
          <w:rFonts w:ascii="Times New Roman" w:hAnsi="Times New Roman" w:cs="Times New Roman"/>
          <w:sz w:val="24"/>
          <w:szCs w:val="24"/>
        </w:rPr>
        <w:t xml:space="preserve">Определение поставщиков </w:t>
      </w:r>
      <w:r w:rsidR="002F4915" w:rsidRPr="002F4915">
        <w:rPr>
          <w:rFonts w:ascii="Times New Roman" w:eastAsiaTheme="minorHAnsi" w:hAnsi="Times New Roman" w:cs="Times New Roman"/>
          <w:sz w:val="24"/>
          <w:szCs w:val="24"/>
          <w:lang w:eastAsia="en-US"/>
        </w:rPr>
        <w:t>(подрядчиков, исполнителей)</w:t>
      </w:r>
      <w:r w:rsidR="002F49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0564A">
        <w:rPr>
          <w:rFonts w:ascii="Times New Roman" w:hAnsi="Times New Roman" w:cs="Times New Roman"/>
          <w:sz w:val="24"/>
          <w:szCs w:val="24"/>
        </w:rPr>
        <w:t xml:space="preserve">аннулируется, согласно </w:t>
      </w:r>
      <w:r w:rsidRPr="002F4915">
        <w:rPr>
          <w:rFonts w:ascii="Times New Roman" w:hAnsi="Times New Roman" w:cs="Times New Roman"/>
          <w:sz w:val="24"/>
          <w:szCs w:val="24"/>
        </w:rPr>
        <w:t>предписанию №01-29/44 Министерства экономического развития Приднестровской Молдавской Республики от 19 октября 2021 года.</w:t>
      </w:r>
    </w:p>
    <w:p w:rsidR="007A4E9C" w:rsidRDefault="007A4E9C"/>
    <w:sectPr w:rsidR="007A4E9C" w:rsidSect="00C0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7A16EC"/>
    <w:rsid w:val="002F4915"/>
    <w:rsid w:val="005E2B84"/>
    <w:rsid w:val="006B534D"/>
    <w:rsid w:val="007A16EC"/>
    <w:rsid w:val="007A4E9C"/>
    <w:rsid w:val="00A0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rsy</dc:creator>
  <cp:lastModifiedBy>rsy</cp:lastModifiedBy>
  <cp:revision>3</cp:revision>
  <dcterms:created xsi:type="dcterms:W3CDTF">2021-10-20T13:42:00Z</dcterms:created>
  <dcterms:modified xsi:type="dcterms:W3CDTF">2021-10-20T13:51:00Z</dcterms:modified>
</cp:coreProperties>
</file>