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B9" w:rsidRDefault="00C939B9" w:rsidP="00C939B9">
      <w:pPr>
        <w:keepLines/>
        <w:ind w:firstLine="360"/>
        <w:jc w:val="center"/>
        <w:rPr>
          <w:b/>
          <w:bCs/>
          <w:snapToGrid w:val="0"/>
          <w:color w:val="000000"/>
          <w:sz w:val="24"/>
          <w:szCs w:val="28"/>
        </w:rPr>
      </w:pPr>
      <w:r>
        <w:rPr>
          <w:b/>
          <w:bCs/>
          <w:snapToGrid w:val="0"/>
          <w:color w:val="000000"/>
          <w:sz w:val="24"/>
          <w:szCs w:val="28"/>
        </w:rPr>
        <w:t>Контракт №</w:t>
      </w:r>
    </w:p>
    <w:p w:rsidR="00C939B9" w:rsidRDefault="00C939B9" w:rsidP="00C939B9">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rsidR="00C939B9" w:rsidRDefault="00C939B9" w:rsidP="00C939B9">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Pr>
          <w:bCs/>
          <w:snapToGrid w:val="0"/>
          <w:color w:val="000000"/>
          <w:sz w:val="24"/>
          <w:szCs w:val="24"/>
        </w:rPr>
        <w:t xml:space="preserve">    </w:t>
      </w:r>
      <w:r>
        <w:rPr>
          <w:bCs/>
          <w:snapToGrid w:val="0"/>
          <w:color w:val="000000"/>
          <w:sz w:val="24"/>
          <w:szCs w:val="24"/>
        </w:rPr>
        <w:t xml:space="preserve">» </w:t>
      </w:r>
      <w:r>
        <w:rPr>
          <w:bCs/>
          <w:snapToGrid w:val="0"/>
          <w:color w:val="000000"/>
          <w:sz w:val="24"/>
          <w:szCs w:val="24"/>
        </w:rPr>
        <w:t xml:space="preserve">     </w:t>
      </w:r>
      <w:bookmarkStart w:id="0" w:name="_GoBack"/>
      <w:bookmarkEnd w:id="0"/>
      <w:r>
        <w:rPr>
          <w:bCs/>
          <w:snapToGrid w:val="0"/>
          <w:color w:val="000000"/>
          <w:sz w:val="24"/>
          <w:szCs w:val="24"/>
        </w:rPr>
        <w:t>2021г.</w:t>
      </w:r>
    </w:p>
    <w:p w:rsidR="00C939B9" w:rsidRDefault="00C939B9" w:rsidP="00C939B9">
      <w:pPr>
        <w:keepLines/>
        <w:ind w:firstLine="360"/>
        <w:jc w:val="both"/>
        <w:rPr>
          <w:bCs/>
          <w:snapToGrid w:val="0"/>
          <w:color w:val="000000"/>
          <w:sz w:val="24"/>
          <w:szCs w:val="24"/>
        </w:rPr>
      </w:pPr>
    </w:p>
    <w:p w:rsidR="00C939B9" w:rsidRDefault="00C939B9" w:rsidP="00C939B9">
      <w:pPr>
        <w:widowControl w:val="0"/>
        <w:autoSpaceDE w:val="0"/>
        <w:autoSpaceDN w:val="0"/>
        <w:adjustRightInd w:val="0"/>
        <w:jc w:val="both"/>
        <w:rPr>
          <w:rFonts w:eastAsia="Times New Roman"/>
          <w:sz w:val="24"/>
          <w:szCs w:val="24"/>
        </w:rPr>
      </w:pPr>
      <w:r>
        <w:rPr>
          <w:rFonts w:eastAsia="Times New Roman"/>
          <w:b/>
          <w:sz w:val="24"/>
          <w:szCs w:val="24"/>
        </w:rPr>
        <w:t>______________________</w:t>
      </w:r>
      <w:r>
        <w:rPr>
          <w:rFonts w:eastAsia="Times New Roman"/>
          <w:sz w:val="24"/>
          <w:szCs w:val="24"/>
        </w:rPr>
        <w:t xml:space="preserve"> в лице _______________________, действующего на основании _______________________,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 на основании Протокола №_____________от _____________2021г.,</w:t>
      </w:r>
      <w:r w:rsidRPr="008B3AF9">
        <w:t xml:space="preserve"> </w:t>
      </w:r>
      <w:r>
        <w:rPr>
          <w:rFonts w:eastAsia="Times New Roman"/>
          <w:sz w:val="24"/>
          <w:szCs w:val="24"/>
        </w:rPr>
        <w:t>заключили настоящий Контракт о нижеследующем:</w:t>
      </w:r>
    </w:p>
    <w:p w:rsidR="00C939B9" w:rsidRDefault="00C939B9" w:rsidP="00C939B9">
      <w:pPr>
        <w:widowControl w:val="0"/>
        <w:autoSpaceDE w:val="0"/>
        <w:autoSpaceDN w:val="0"/>
        <w:adjustRightInd w:val="0"/>
        <w:jc w:val="both"/>
        <w:rPr>
          <w:rFonts w:eastAsia="Times New Roman"/>
          <w:sz w:val="24"/>
          <w:szCs w:val="24"/>
        </w:rPr>
      </w:pPr>
    </w:p>
    <w:p w:rsidR="00C939B9" w:rsidRDefault="00C939B9" w:rsidP="00C939B9">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C939B9" w:rsidRPr="008B3AF9" w:rsidRDefault="00C939B9" w:rsidP="00C939B9">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(Приложение №2 к настоящему Контракту)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rsidR="00C939B9" w:rsidRDefault="00C939B9" w:rsidP="00C939B9">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Pr>
          <w:rFonts w:eastAsia="Times New Roman"/>
          <w:sz w:val="22"/>
          <w:szCs w:val="22"/>
        </w:rPr>
        <w:t>813 722</w:t>
      </w:r>
      <w:r>
        <w:rPr>
          <w:rFonts w:eastAsia="Times New Roman"/>
          <w:sz w:val="22"/>
          <w:szCs w:val="22"/>
        </w:rPr>
        <w:t xml:space="preserve">,00 (восемьсот </w:t>
      </w:r>
      <w:r>
        <w:rPr>
          <w:rFonts w:eastAsia="Times New Roman"/>
          <w:sz w:val="22"/>
          <w:szCs w:val="22"/>
        </w:rPr>
        <w:t>тринадцать тысяч семьсот двадцать два</w:t>
      </w:r>
      <w:r>
        <w:rPr>
          <w:rFonts w:eastAsia="Times New Roman"/>
          <w:sz w:val="22"/>
          <w:szCs w:val="22"/>
        </w:rPr>
        <w:t>,00) рубл</w:t>
      </w:r>
      <w:r>
        <w:rPr>
          <w:rFonts w:eastAsia="Times New Roman"/>
          <w:sz w:val="22"/>
          <w:szCs w:val="22"/>
        </w:rPr>
        <w:t>я</w:t>
      </w:r>
      <w:r>
        <w:rPr>
          <w:rFonts w:eastAsia="Times New Roman"/>
          <w:sz w:val="22"/>
          <w:szCs w:val="22"/>
        </w:rPr>
        <w:t xml:space="preserve"> ПМР.</w:t>
      </w:r>
    </w:p>
    <w:p w:rsidR="00C939B9" w:rsidRPr="008B3AF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C939B9" w:rsidRDefault="00C939B9" w:rsidP="00C939B9">
      <w:pPr>
        <w:tabs>
          <w:tab w:val="left" w:pos="543"/>
        </w:tabs>
        <w:spacing w:line="269" w:lineRule="exact"/>
        <w:ind w:right="20" w:firstLine="720"/>
        <w:jc w:val="both"/>
        <w:rPr>
          <w:rFonts w:eastAsia="Times New Roman"/>
          <w:sz w:val="22"/>
          <w:szCs w:val="22"/>
        </w:rPr>
      </w:pPr>
    </w:p>
    <w:p w:rsidR="00C939B9" w:rsidRDefault="00C939B9" w:rsidP="00C939B9">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C939B9" w:rsidRDefault="00C939B9" w:rsidP="00C939B9">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C939B9" w:rsidRDefault="00C939B9" w:rsidP="00C939B9">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C939B9" w:rsidRDefault="00C939B9" w:rsidP="00C939B9">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rsidR="00C939B9" w:rsidRDefault="00C939B9" w:rsidP="00C939B9">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C939B9" w:rsidRDefault="00C939B9" w:rsidP="00C939B9">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C939B9" w:rsidRDefault="00C939B9" w:rsidP="00C939B9">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C939B9" w:rsidRDefault="00C939B9" w:rsidP="00C939B9">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C939B9" w:rsidRDefault="00C939B9" w:rsidP="00C939B9">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C939B9" w:rsidRDefault="00C939B9" w:rsidP="00C939B9">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C939B9" w:rsidRDefault="00C939B9" w:rsidP="00C939B9">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C939B9" w:rsidRDefault="00C939B9" w:rsidP="00C939B9">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C939B9" w:rsidRDefault="00C939B9" w:rsidP="00C939B9">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C939B9" w:rsidRDefault="00C939B9" w:rsidP="00C939B9">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C939B9" w:rsidRDefault="00C939B9" w:rsidP="00C939B9">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rsidR="00C939B9" w:rsidRDefault="00C939B9" w:rsidP="00C939B9">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rsidR="00C939B9" w:rsidRDefault="00C939B9" w:rsidP="00C939B9">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C939B9" w:rsidRDefault="00C939B9" w:rsidP="00C939B9">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C939B9" w:rsidRDefault="00C939B9" w:rsidP="00C939B9">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C939B9" w:rsidRDefault="00C939B9" w:rsidP="00C939B9">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C939B9" w:rsidRDefault="00C939B9" w:rsidP="00C939B9">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C939B9" w:rsidRDefault="00C939B9" w:rsidP="00C939B9">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C939B9" w:rsidRDefault="00C939B9" w:rsidP="00C939B9">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C939B9" w:rsidRDefault="00C939B9" w:rsidP="00C939B9">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C939B9" w:rsidRDefault="00C939B9" w:rsidP="00C939B9">
      <w:pPr>
        <w:spacing w:line="264" w:lineRule="exact"/>
        <w:jc w:val="both"/>
        <w:rPr>
          <w:rFonts w:eastAsia="Times New Roman"/>
          <w:sz w:val="22"/>
          <w:szCs w:val="22"/>
        </w:rPr>
      </w:pPr>
      <w:r>
        <w:rPr>
          <w:rFonts w:eastAsia="Times New Roman"/>
          <w:sz w:val="22"/>
          <w:szCs w:val="22"/>
        </w:rPr>
        <w:t>2.4.3. Досрочно выполнить работу.</w:t>
      </w:r>
    </w:p>
    <w:p w:rsidR="00C939B9" w:rsidRDefault="00C939B9" w:rsidP="00C939B9">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C939B9" w:rsidRDefault="00C939B9" w:rsidP="00C939B9">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C939B9" w:rsidRDefault="00C939B9" w:rsidP="00C939B9">
      <w:pPr>
        <w:spacing w:line="264" w:lineRule="exact"/>
        <w:ind w:right="20"/>
        <w:rPr>
          <w:rFonts w:eastAsia="Times New Roman"/>
          <w:b/>
          <w:bCs/>
          <w:sz w:val="22"/>
          <w:szCs w:val="22"/>
        </w:rPr>
      </w:pPr>
    </w:p>
    <w:p w:rsidR="00C939B9" w:rsidRDefault="00C939B9" w:rsidP="00C939B9">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Приложением №1 и составляет813 722,00 (восемьсот тринадцать тысяч семьсот двадцать два,00) рубл</w:t>
      </w:r>
      <w:r>
        <w:rPr>
          <w:rFonts w:eastAsia="Times New Roman"/>
          <w:sz w:val="22"/>
          <w:szCs w:val="22"/>
        </w:rPr>
        <w:t>ей</w:t>
      </w:r>
      <w:r>
        <w:rPr>
          <w:rFonts w:eastAsia="Times New Roman"/>
          <w:sz w:val="22"/>
          <w:szCs w:val="22"/>
        </w:rPr>
        <w:t xml:space="preserve"> ПМР.</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- 30%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- 70</w:t>
      </w:r>
      <w:proofErr w:type="gramStart"/>
      <w:r>
        <w:rPr>
          <w:rFonts w:eastAsia="Times New Roman"/>
          <w:sz w:val="22"/>
          <w:szCs w:val="22"/>
        </w:rPr>
        <w:t>%  -</w:t>
      </w:r>
      <w:proofErr w:type="gramEnd"/>
      <w:r>
        <w:rPr>
          <w:rFonts w:eastAsia="Times New Roman"/>
          <w:sz w:val="22"/>
          <w:szCs w:val="22"/>
        </w:rPr>
        <w:t xml:space="preserve"> в течении 90 календарных дней после окончания работ с момента подписания Акта выполненных работ. </w:t>
      </w:r>
    </w:p>
    <w:p w:rsidR="00C939B9" w:rsidRDefault="00C939B9" w:rsidP="00C939B9">
      <w:pPr>
        <w:tabs>
          <w:tab w:val="left" w:pos="471"/>
        </w:tabs>
        <w:spacing w:line="269" w:lineRule="exact"/>
        <w:ind w:right="20"/>
        <w:jc w:val="both"/>
        <w:rPr>
          <w:rFonts w:eastAsia="Times New Roman"/>
          <w:sz w:val="22"/>
          <w:szCs w:val="22"/>
        </w:rPr>
      </w:pPr>
      <w:r>
        <w:rPr>
          <w:rFonts w:eastAsia="Times New Roman"/>
          <w:sz w:val="22"/>
          <w:szCs w:val="22"/>
        </w:rPr>
        <w:t>3.3. Источник финансирования работ по настоящему Контракту – статья расходов «Капитальный ремонт строительных конструкций зданий».</w:t>
      </w:r>
    </w:p>
    <w:p w:rsidR="00C939B9" w:rsidRDefault="00C939B9" w:rsidP="00C939B9">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C939B9" w:rsidRDefault="00C939B9" w:rsidP="00C939B9">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должны быть выполнены в срок не позднее 01.12.2021 года в соответствии с Графиком выполнения работ.</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rsidR="00C939B9" w:rsidRDefault="00C939B9" w:rsidP="00C939B9">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C939B9" w:rsidRDefault="00C939B9" w:rsidP="00C939B9">
      <w:pPr>
        <w:spacing w:line="264" w:lineRule="exact"/>
        <w:ind w:right="20" w:firstLine="720"/>
        <w:jc w:val="center"/>
        <w:rPr>
          <w:rFonts w:eastAsia="Times New Roman"/>
          <w:b/>
          <w:bCs/>
          <w:sz w:val="22"/>
          <w:szCs w:val="22"/>
        </w:rPr>
      </w:pPr>
    </w:p>
    <w:p w:rsidR="00C939B9" w:rsidRDefault="00C939B9" w:rsidP="00C939B9">
      <w:pPr>
        <w:spacing w:line="264" w:lineRule="exact"/>
        <w:ind w:right="20" w:firstLine="720"/>
        <w:jc w:val="center"/>
        <w:rPr>
          <w:rFonts w:eastAsia="Times New Roman"/>
          <w:b/>
          <w:bCs/>
          <w:sz w:val="22"/>
          <w:szCs w:val="22"/>
        </w:rPr>
      </w:pPr>
    </w:p>
    <w:p w:rsidR="00C939B9" w:rsidRDefault="00C939B9" w:rsidP="00C939B9">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rsidR="00C939B9" w:rsidRDefault="00C939B9" w:rsidP="00C939B9">
      <w:pPr>
        <w:jc w:val="both"/>
        <w:rPr>
          <w:rFonts w:eastAsia="Times New Roman"/>
          <w:sz w:val="22"/>
          <w:szCs w:val="22"/>
        </w:rPr>
      </w:pPr>
      <w:r>
        <w:rPr>
          <w:rFonts w:eastAsia="Times New Roman"/>
          <w:sz w:val="22"/>
          <w:szCs w:val="22"/>
        </w:rPr>
        <w:lastRenderedPageBreak/>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C939B9" w:rsidRDefault="00C939B9" w:rsidP="00C939B9">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C939B9" w:rsidRDefault="00C939B9" w:rsidP="00C939B9">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C939B9" w:rsidRDefault="00C939B9" w:rsidP="00C939B9">
      <w:pPr>
        <w:jc w:val="center"/>
        <w:rPr>
          <w:rFonts w:eastAsia="Times New Roman"/>
          <w:b/>
          <w:sz w:val="22"/>
          <w:szCs w:val="22"/>
        </w:rPr>
      </w:pPr>
    </w:p>
    <w:p w:rsidR="00C939B9" w:rsidRDefault="00C939B9" w:rsidP="00C939B9">
      <w:pPr>
        <w:jc w:val="center"/>
        <w:rPr>
          <w:rFonts w:eastAsia="Times New Roman"/>
          <w:b/>
          <w:sz w:val="22"/>
          <w:szCs w:val="22"/>
        </w:rPr>
      </w:pPr>
      <w:r>
        <w:rPr>
          <w:rFonts w:eastAsia="Times New Roman"/>
          <w:b/>
          <w:sz w:val="22"/>
          <w:szCs w:val="22"/>
        </w:rPr>
        <w:t>6. ГАРАНТИЯ</w:t>
      </w:r>
    </w:p>
    <w:p w:rsidR="00C939B9" w:rsidRDefault="00C939B9" w:rsidP="00C939B9">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rsidR="00C939B9" w:rsidRDefault="00C939B9" w:rsidP="00C939B9">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rsidR="00C939B9" w:rsidRDefault="00C939B9" w:rsidP="00C939B9">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rsidR="00C939B9" w:rsidRDefault="00C939B9" w:rsidP="00C939B9">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rsidR="00C939B9" w:rsidRDefault="00C939B9" w:rsidP="00C939B9">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rsidR="00C939B9" w:rsidRDefault="00C939B9" w:rsidP="00C939B9">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rsidR="00C939B9" w:rsidRDefault="00C939B9" w:rsidP="00C939B9">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rsidR="00C939B9" w:rsidRDefault="00C939B9" w:rsidP="00C939B9">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C939B9" w:rsidRDefault="00C939B9" w:rsidP="00C939B9">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C939B9" w:rsidRDefault="00C939B9" w:rsidP="00C939B9">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C939B9" w:rsidRDefault="00C939B9" w:rsidP="00C939B9">
      <w:pPr>
        <w:spacing w:line="264" w:lineRule="exact"/>
        <w:ind w:right="20"/>
        <w:rPr>
          <w:rFonts w:eastAsia="Times New Roman"/>
          <w:b/>
          <w:sz w:val="22"/>
          <w:szCs w:val="22"/>
        </w:rPr>
      </w:pPr>
    </w:p>
    <w:p w:rsidR="00C939B9" w:rsidRDefault="00C939B9" w:rsidP="00C939B9">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lastRenderedPageBreak/>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rsidR="00C939B9" w:rsidRDefault="00C939B9" w:rsidP="00C939B9">
      <w:pPr>
        <w:spacing w:line="259" w:lineRule="exact"/>
        <w:ind w:right="20" w:firstLine="720"/>
        <w:jc w:val="center"/>
        <w:rPr>
          <w:rFonts w:eastAsia="Times New Roman"/>
          <w:b/>
          <w:sz w:val="22"/>
          <w:szCs w:val="22"/>
        </w:rPr>
      </w:pPr>
    </w:p>
    <w:p w:rsidR="00C939B9" w:rsidRDefault="00C939B9" w:rsidP="00C939B9">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C939B9" w:rsidRDefault="00C939B9" w:rsidP="00C939B9">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rsidR="00C939B9" w:rsidRDefault="00C939B9" w:rsidP="00C939B9">
      <w:pPr>
        <w:spacing w:line="264" w:lineRule="exact"/>
        <w:ind w:right="20"/>
        <w:jc w:val="both"/>
        <w:rPr>
          <w:rFonts w:eastAsia="Times New Roman"/>
          <w:sz w:val="22"/>
          <w:szCs w:val="22"/>
        </w:rPr>
      </w:pPr>
    </w:p>
    <w:p w:rsidR="00C939B9" w:rsidRDefault="00C939B9" w:rsidP="00C939B9">
      <w:pPr>
        <w:spacing w:line="264" w:lineRule="exact"/>
        <w:ind w:right="20" w:firstLine="720"/>
        <w:jc w:val="center"/>
        <w:rPr>
          <w:rFonts w:eastAsia="Times New Roman"/>
          <w:b/>
          <w:bCs/>
          <w:sz w:val="22"/>
          <w:szCs w:val="22"/>
        </w:rPr>
      </w:pPr>
    </w:p>
    <w:p w:rsidR="00C939B9" w:rsidRDefault="00C939B9" w:rsidP="00C939B9">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C939B9" w:rsidRDefault="00C939B9" w:rsidP="00C939B9">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C939B9" w:rsidRDefault="00C939B9" w:rsidP="00C939B9">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C939B9" w:rsidRDefault="00C939B9" w:rsidP="00C939B9">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rsidR="00C939B9" w:rsidRDefault="00C939B9" w:rsidP="00C939B9">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C939B9" w:rsidRDefault="00C939B9" w:rsidP="00C939B9">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C939B9" w:rsidRDefault="00C939B9" w:rsidP="00C939B9">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C939B9" w:rsidRDefault="00C939B9" w:rsidP="00C939B9">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C939B9" w:rsidRDefault="00C939B9" w:rsidP="00C939B9">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C939B9" w:rsidRDefault="00C939B9" w:rsidP="00C939B9">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C939B9" w:rsidRDefault="00C939B9" w:rsidP="00C939B9">
      <w:pPr>
        <w:tabs>
          <w:tab w:val="left" w:pos="0"/>
        </w:tabs>
        <w:spacing w:line="264" w:lineRule="exact"/>
        <w:ind w:right="20"/>
        <w:jc w:val="both"/>
        <w:rPr>
          <w:rFonts w:eastAsia="Times New Roman"/>
          <w:sz w:val="22"/>
          <w:szCs w:val="22"/>
        </w:rPr>
      </w:pPr>
    </w:p>
    <w:p w:rsidR="00C939B9" w:rsidRDefault="00C939B9" w:rsidP="00C939B9">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C939B9" w:rsidRDefault="00C939B9" w:rsidP="00C939B9">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C939B9" w:rsidRPr="009E4EE1" w:rsidRDefault="00C939B9" w:rsidP="00C939B9">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C939B9" w:rsidRPr="009E4EE1" w:rsidRDefault="00C939B9" w:rsidP="00C939B9">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C939B9" w:rsidRPr="009E4EE1" w:rsidRDefault="00C939B9" w:rsidP="00C939B9">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C939B9" w:rsidRDefault="00C939B9" w:rsidP="00C939B9">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C939B9" w:rsidRPr="009E4EE1" w:rsidRDefault="00C939B9" w:rsidP="00C939B9">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C939B9" w:rsidRPr="009E4EE1" w:rsidRDefault="00C939B9" w:rsidP="00C939B9">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C939B9" w:rsidRPr="009E4EE1" w:rsidRDefault="00C939B9" w:rsidP="00C939B9">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C939B9" w:rsidRDefault="00C939B9" w:rsidP="00C939B9">
      <w:pPr>
        <w:tabs>
          <w:tab w:val="left" w:pos="0"/>
        </w:tabs>
        <w:spacing w:line="264" w:lineRule="exact"/>
        <w:ind w:right="20"/>
        <w:jc w:val="both"/>
        <w:rPr>
          <w:b/>
          <w:sz w:val="22"/>
          <w:szCs w:val="22"/>
        </w:rPr>
      </w:pPr>
    </w:p>
    <w:p w:rsidR="00C939B9" w:rsidRDefault="00C939B9" w:rsidP="00C939B9">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C939B9" w:rsidRDefault="00C939B9" w:rsidP="00C939B9">
      <w:pPr>
        <w:tabs>
          <w:tab w:val="left" w:pos="7230"/>
        </w:tabs>
        <w:jc w:val="both"/>
        <w:rPr>
          <w:rFonts w:eastAsia="Times New Roman"/>
          <w:sz w:val="22"/>
          <w:szCs w:val="22"/>
        </w:rPr>
      </w:pPr>
      <w:r>
        <w:rPr>
          <w:rFonts w:eastAsia="Times New Roman"/>
          <w:sz w:val="22"/>
          <w:szCs w:val="22"/>
        </w:rPr>
        <w:lastRenderedPageBreak/>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rsidR="00C939B9" w:rsidRDefault="00C939B9" w:rsidP="00C939B9">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C939B9" w:rsidRPr="00B54A9D" w:rsidRDefault="00C939B9" w:rsidP="00C939B9">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rsidR="00C939B9" w:rsidRDefault="00C939B9" w:rsidP="00C939B9">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C939B9" w:rsidRDefault="00C939B9" w:rsidP="00C939B9">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C939B9" w:rsidRDefault="00C939B9" w:rsidP="00C939B9">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C939B9" w:rsidRDefault="00C939B9" w:rsidP="00C939B9">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rsidR="00C939B9" w:rsidRDefault="00C939B9" w:rsidP="00C939B9">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31.12.2021г., в части исполнения обязательств – до полного исполнения Сторонами принятых на себя обязательств.</w:t>
      </w:r>
    </w:p>
    <w:p w:rsidR="00C939B9" w:rsidRDefault="00C939B9" w:rsidP="00C939B9">
      <w:pPr>
        <w:keepLines/>
        <w:ind w:firstLine="360"/>
        <w:jc w:val="both"/>
        <w:rPr>
          <w:snapToGrid w:val="0"/>
          <w:sz w:val="24"/>
          <w:szCs w:val="24"/>
        </w:rPr>
      </w:pPr>
    </w:p>
    <w:p w:rsidR="00C939B9" w:rsidRDefault="00C939B9" w:rsidP="00C939B9">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C939B9" w:rsidRDefault="00C939B9" w:rsidP="00C939B9">
      <w:pPr>
        <w:keepLines/>
        <w:ind w:firstLine="360"/>
        <w:jc w:val="both"/>
        <w:rPr>
          <w:b/>
          <w:bCs/>
          <w:snapToGrid w:val="0"/>
          <w:color w:val="000000"/>
          <w:sz w:val="24"/>
          <w:szCs w:val="24"/>
        </w:rPr>
      </w:pPr>
    </w:p>
    <w:p w:rsidR="00C939B9" w:rsidRDefault="00C939B9" w:rsidP="00C939B9">
      <w:pPr>
        <w:keepLines/>
        <w:ind w:firstLine="360"/>
        <w:jc w:val="both"/>
        <w:rPr>
          <w:b/>
          <w:bCs/>
          <w:snapToGrid w:val="0"/>
          <w:color w:val="000000"/>
          <w:sz w:val="24"/>
          <w:szCs w:val="24"/>
        </w:rPr>
      </w:pPr>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p w:rsidR="00C939B9" w:rsidRDefault="00C939B9" w:rsidP="00C939B9">
      <w:pPr>
        <w:rPr>
          <w:snapToGrid w:val="0"/>
          <w:sz w:val="24"/>
          <w:szCs w:val="24"/>
        </w:rPr>
      </w:pPr>
    </w:p>
    <w:p w:rsidR="00C939B9" w:rsidRPr="00510EDA" w:rsidRDefault="00C939B9" w:rsidP="00C939B9">
      <w:pPr>
        <w:rPr>
          <w:snapToGrid w:val="0"/>
          <w:sz w:val="24"/>
          <w:szCs w:val="24"/>
        </w:rPr>
      </w:pPr>
    </w:p>
    <w:p w:rsidR="00C939B9" w:rsidRPr="00510EDA" w:rsidRDefault="00C939B9" w:rsidP="00C939B9">
      <w:pPr>
        <w:rPr>
          <w:snapToGrid w:val="0"/>
          <w:sz w:val="24"/>
          <w:szCs w:val="24"/>
        </w:rPr>
      </w:pPr>
      <w:r w:rsidRPr="00504E73">
        <w:rPr>
          <w:snapToGrid w:val="0"/>
          <w:color w:val="FFFFFF" w:themeColor="background1"/>
          <w:sz w:val="24"/>
          <w:szCs w:val="24"/>
        </w:rPr>
        <w:t xml:space="preserve">ООО «Какие </w:t>
      </w:r>
      <w:proofErr w:type="gramStart"/>
      <w:r w:rsidRPr="00504E73">
        <w:rPr>
          <w:snapToGrid w:val="0"/>
          <w:color w:val="FFFFFF" w:themeColor="background1"/>
          <w:sz w:val="24"/>
          <w:szCs w:val="24"/>
        </w:rPr>
        <w:t xml:space="preserve">окна» </w:t>
      </w:r>
      <w:r w:rsidRPr="00510EDA">
        <w:rPr>
          <w:snapToGrid w:val="0"/>
          <w:sz w:val="24"/>
          <w:szCs w:val="24"/>
        </w:rPr>
        <w:t xml:space="preserve">  </w:t>
      </w:r>
      <w:proofErr w:type="gramEnd"/>
      <w:r w:rsidRPr="00510EDA">
        <w:rPr>
          <w:snapToGrid w:val="0"/>
          <w:sz w:val="24"/>
          <w:szCs w:val="24"/>
        </w:rPr>
        <w:t xml:space="preserve">                                                              МУП «ЖЭУК </w:t>
      </w:r>
      <w:proofErr w:type="spellStart"/>
      <w:r w:rsidRPr="00510EDA">
        <w:rPr>
          <w:snapToGrid w:val="0"/>
          <w:sz w:val="24"/>
          <w:szCs w:val="24"/>
        </w:rPr>
        <w:t>г.Бендеры</w:t>
      </w:r>
      <w:proofErr w:type="spellEnd"/>
      <w:r w:rsidRPr="00510EDA">
        <w:rPr>
          <w:snapToGrid w:val="0"/>
          <w:sz w:val="24"/>
          <w:szCs w:val="24"/>
        </w:rPr>
        <w:t>»</w:t>
      </w:r>
    </w:p>
    <w:p w:rsidR="00C939B9" w:rsidRPr="00510EDA" w:rsidRDefault="00C939B9" w:rsidP="00C939B9">
      <w:pPr>
        <w:rPr>
          <w:snapToGrid w:val="0"/>
          <w:sz w:val="24"/>
          <w:szCs w:val="24"/>
        </w:rPr>
      </w:pPr>
      <w:proofErr w:type="spellStart"/>
      <w:r w:rsidRPr="00504E73">
        <w:rPr>
          <w:snapToGrid w:val="0"/>
          <w:color w:val="FFFFFF" w:themeColor="background1"/>
          <w:sz w:val="24"/>
          <w:szCs w:val="24"/>
        </w:rPr>
        <w:t>г.Бендеры</w:t>
      </w:r>
      <w:proofErr w:type="spellEnd"/>
      <w:r w:rsidRPr="00504E73">
        <w:rPr>
          <w:snapToGrid w:val="0"/>
          <w:color w:val="FFFFFF" w:themeColor="background1"/>
          <w:sz w:val="24"/>
          <w:szCs w:val="24"/>
        </w:rPr>
        <w:t xml:space="preserve">, </w:t>
      </w:r>
      <w:proofErr w:type="spellStart"/>
      <w:r w:rsidRPr="00504E73">
        <w:rPr>
          <w:snapToGrid w:val="0"/>
          <w:color w:val="FFFFFF" w:themeColor="background1"/>
          <w:sz w:val="24"/>
          <w:szCs w:val="24"/>
        </w:rPr>
        <w:t>ул.Суворова</w:t>
      </w:r>
      <w:proofErr w:type="spellEnd"/>
      <w:r w:rsidRPr="00504E73">
        <w:rPr>
          <w:snapToGrid w:val="0"/>
          <w:color w:val="FFFFFF" w:themeColor="background1"/>
          <w:sz w:val="24"/>
          <w:szCs w:val="24"/>
        </w:rPr>
        <w:t>, 4б/1</w:t>
      </w:r>
      <w:r w:rsidRPr="00510EDA">
        <w:rPr>
          <w:snapToGrid w:val="0"/>
          <w:sz w:val="24"/>
          <w:szCs w:val="24"/>
        </w:rPr>
        <w:t xml:space="preserve">                                               </w:t>
      </w:r>
      <w:proofErr w:type="spellStart"/>
      <w:r w:rsidRPr="00510EDA">
        <w:rPr>
          <w:snapToGrid w:val="0"/>
          <w:sz w:val="24"/>
          <w:szCs w:val="24"/>
        </w:rPr>
        <w:t>г.Бендеры</w:t>
      </w:r>
      <w:proofErr w:type="spellEnd"/>
      <w:r w:rsidRPr="00510EDA">
        <w:rPr>
          <w:snapToGrid w:val="0"/>
          <w:sz w:val="24"/>
          <w:szCs w:val="24"/>
        </w:rPr>
        <w:t xml:space="preserve">, </w:t>
      </w:r>
      <w:proofErr w:type="spellStart"/>
      <w:r w:rsidRPr="00510EDA">
        <w:rPr>
          <w:snapToGrid w:val="0"/>
          <w:sz w:val="24"/>
          <w:szCs w:val="24"/>
        </w:rPr>
        <w:t>ул.Калинина</w:t>
      </w:r>
      <w:proofErr w:type="spellEnd"/>
      <w:r w:rsidRPr="00510EDA">
        <w:rPr>
          <w:snapToGrid w:val="0"/>
          <w:sz w:val="24"/>
          <w:szCs w:val="24"/>
        </w:rPr>
        <w:t>, д.38</w:t>
      </w:r>
    </w:p>
    <w:p w:rsidR="00C939B9" w:rsidRPr="00510EDA" w:rsidRDefault="00C939B9" w:rsidP="00C939B9">
      <w:pPr>
        <w:rPr>
          <w:snapToGrid w:val="0"/>
          <w:sz w:val="24"/>
          <w:szCs w:val="24"/>
        </w:rPr>
      </w:pPr>
      <w:r w:rsidRPr="00504E73">
        <w:rPr>
          <w:snapToGrid w:val="0"/>
          <w:color w:val="FFFFFF" w:themeColor="background1"/>
          <w:sz w:val="24"/>
          <w:szCs w:val="24"/>
        </w:rPr>
        <w:t xml:space="preserve">ф/к 0300047961                                                                       </w:t>
      </w:r>
      <w:r w:rsidRPr="00510EDA">
        <w:rPr>
          <w:snapToGrid w:val="0"/>
          <w:sz w:val="24"/>
          <w:szCs w:val="24"/>
        </w:rPr>
        <w:t>ф/к 0300046094</w:t>
      </w:r>
    </w:p>
    <w:p w:rsidR="00C939B9" w:rsidRPr="00510EDA" w:rsidRDefault="00C939B9" w:rsidP="00C939B9">
      <w:pPr>
        <w:rPr>
          <w:snapToGrid w:val="0"/>
          <w:sz w:val="24"/>
          <w:szCs w:val="24"/>
        </w:rPr>
      </w:pPr>
      <w:r w:rsidRPr="00504E73">
        <w:rPr>
          <w:snapToGrid w:val="0"/>
          <w:color w:val="FFFFFF" w:themeColor="background1"/>
          <w:sz w:val="24"/>
          <w:szCs w:val="24"/>
        </w:rPr>
        <w:t xml:space="preserve">р/с22212670000000793                                                           </w:t>
      </w:r>
      <w:r w:rsidRPr="00510EDA">
        <w:rPr>
          <w:snapToGrid w:val="0"/>
          <w:sz w:val="24"/>
          <w:szCs w:val="24"/>
        </w:rPr>
        <w:t>р/с 2211670000000010</w:t>
      </w:r>
    </w:p>
    <w:p w:rsidR="00C939B9" w:rsidRPr="00510EDA" w:rsidRDefault="00C939B9" w:rsidP="00C939B9">
      <w:pPr>
        <w:rPr>
          <w:snapToGrid w:val="0"/>
          <w:sz w:val="24"/>
          <w:szCs w:val="24"/>
        </w:rPr>
      </w:pPr>
      <w:r w:rsidRPr="00504E73">
        <w:rPr>
          <w:snapToGrid w:val="0"/>
          <w:color w:val="FFFFFF" w:themeColor="background1"/>
          <w:sz w:val="24"/>
          <w:szCs w:val="24"/>
        </w:rPr>
        <w:t>в БФ ОАО «</w:t>
      </w:r>
      <w:proofErr w:type="spellStart"/>
      <w:proofErr w:type="gramStart"/>
      <w:r w:rsidRPr="00504E73">
        <w:rPr>
          <w:snapToGrid w:val="0"/>
          <w:color w:val="FFFFFF" w:themeColor="background1"/>
          <w:sz w:val="24"/>
          <w:szCs w:val="24"/>
        </w:rPr>
        <w:t>Эксимбанк</w:t>
      </w:r>
      <w:proofErr w:type="spellEnd"/>
      <w:r w:rsidRPr="00504E73">
        <w:rPr>
          <w:snapToGrid w:val="0"/>
          <w:color w:val="FFFFFF" w:themeColor="background1"/>
          <w:sz w:val="24"/>
          <w:szCs w:val="24"/>
        </w:rPr>
        <w:t xml:space="preserve">» </w:t>
      </w:r>
      <w:r w:rsidRPr="00510EDA">
        <w:rPr>
          <w:snapToGrid w:val="0"/>
          <w:sz w:val="24"/>
          <w:szCs w:val="24"/>
        </w:rPr>
        <w:t xml:space="preserve">  </w:t>
      </w:r>
      <w:proofErr w:type="gramEnd"/>
      <w:r w:rsidRPr="00510EDA">
        <w:rPr>
          <w:snapToGrid w:val="0"/>
          <w:sz w:val="24"/>
          <w:szCs w:val="24"/>
        </w:rPr>
        <w:t xml:space="preserve">                                                     в БФ ОАО «</w:t>
      </w:r>
      <w:proofErr w:type="spellStart"/>
      <w:r w:rsidRPr="00510EDA">
        <w:rPr>
          <w:snapToGrid w:val="0"/>
          <w:sz w:val="24"/>
          <w:szCs w:val="24"/>
        </w:rPr>
        <w:t>Эксимбанк</w:t>
      </w:r>
      <w:proofErr w:type="spellEnd"/>
      <w:r w:rsidRPr="00510EDA">
        <w:rPr>
          <w:snapToGrid w:val="0"/>
          <w:sz w:val="24"/>
          <w:szCs w:val="24"/>
        </w:rPr>
        <w:t>»</w:t>
      </w:r>
    </w:p>
    <w:p w:rsidR="00C939B9" w:rsidRPr="00510EDA" w:rsidRDefault="00C939B9" w:rsidP="00C939B9">
      <w:pPr>
        <w:rPr>
          <w:snapToGrid w:val="0"/>
          <w:sz w:val="24"/>
          <w:szCs w:val="24"/>
        </w:rPr>
      </w:pPr>
    </w:p>
    <w:p w:rsidR="00C939B9" w:rsidRPr="00510EDA" w:rsidRDefault="00C939B9" w:rsidP="00C939B9">
      <w:pPr>
        <w:rPr>
          <w:snapToGrid w:val="0"/>
          <w:sz w:val="24"/>
          <w:szCs w:val="24"/>
        </w:rPr>
      </w:pPr>
      <w:r w:rsidRPr="00504E73">
        <w:rPr>
          <w:snapToGrid w:val="0"/>
          <w:color w:val="FFFFFF" w:themeColor="background1"/>
          <w:sz w:val="24"/>
          <w:szCs w:val="24"/>
        </w:rPr>
        <w:t>Директор _____________</w:t>
      </w:r>
      <w:proofErr w:type="spellStart"/>
      <w:r w:rsidRPr="00504E73">
        <w:rPr>
          <w:snapToGrid w:val="0"/>
          <w:color w:val="FFFFFF" w:themeColor="background1"/>
          <w:sz w:val="24"/>
          <w:szCs w:val="24"/>
        </w:rPr>
        <w:t>Ю.В.Кравчук</w:t>
      </w:r>
      <w:proofErr w:type="spellEnd"/>
      <w:r w:rsidRPr="00504E73">
        <w:rPr>
          <w:snapToGrid w:val="0"/>
          <w:color w:val="FFFFFF" w:themeColor="background1"/>
          <w:sz w:val="24"/>
          <w:szCs w:val="24"/>
        </w:rPr>
        <w:t xml:space="preserve">                             </w:t>
      </w:r>
      <w:r w:rsidRPr="00510EDA">
        <w:rPr>
          <w:snapToGrid w:val="0"/>
          <w:sz w:val="24"/>
          <w:szCs w:val="24"/>
        </w:rPr>
        <w:t>Директор_________</w:t>
      </w:r>
      <w:proofErr w:type="spellStart"/>
      <w:r w:rsidRPr="00510EDA">
        <w:rPr>
          <w:snapToGrid w:val="0"/>
          <w:sz w:val="24"/>
          <w:szCs w:val="24"/>
        </w:rPr>
        <w:t>А.Н.Голубнюк</w:t>
      </w:r>
      <w:proofErr w:type="spellEnd"/>
    </w:p>
    <w:p w:rsidR="00C939B9" w:rsidRPr="00510EDA" w:rsidRDefault="00C939B9" w:rsidP="00C939B9">
      <w:pPr>
        <w:rPr>
          <w:snapToGrid w:val="0"/>
          <w:sz w:val="24"/>
          <w:szCs w:val="24"/>
        </w:rPr>
      </w:pPr>
    </w:p>
    <w:p w:rsidR="00C939B9" w:rsidRPr="00510EDA" w:rsidRDefault="00C939B9" w:rsidP="00C939B9">
      <w:pPr>
        <w:rPr>
          <w:snapToGrid w:val="0"/>
          <w:sz w:val="24"/>
          <w:szCs w:val="24"/>
        </w:rPr>
      </w:pPr>
    </w:p>
    <w:p w:rsidR="00C939B9" w:rsidRPr="00510EDA" w:rsidRDefault="00C939B9" w:rsidP="00C939B9">
      <w:pPr>
        <w:rPr>
          <w:snapToGrid w:val="0"/>
          <w:sz w:val="24"/>
          <w:szCs w:val="24"/>
        </w:rPr>
      </w:pPr>
    </w:p>
    <w:p w:rsidR="00C939B9" w:rsidRDefault="00C939B9" w:rsidP="00C939B9">
      <w:pPr>
        <w:rPr>
          <w:snapToGrid w:val="0"/>
          <w:sz w:val="24"/>
          <w:szCs w:val="24"/>
        </w:rPr>
      </w:pPr>
    </w:p>
    <w:p w:rsidR="00C939B9" w:rsidRDefault="00C939B9" w:rsidP="00C939B9">
      <w:pPr>
        <w:rPr>
          <w:snapToGrid w:val="0"/>
          <w:sz w:val="24"/>
          <w:szCs w:val="24"/>
        </w:rPr>
      </w:pPr>
    </w:p>
    <w:p w:rsidR="00C939B9" w:rsidRDefault="00C939B9" w:rsidP="00C939B9">
      <w:pPr>
        <w:rPr>
          <w:snapToGrid w:val="0"/>
          <w:sz w:val="24"/>
          <w:szCs w:val="24"/>
        </w:rPr>
      </w:pPr>
    </w:p>
    <w:p w:rsidR="00C939B9" w:rsidRDefault="00C939B9" w:rsidP="00C939B9"/>
    <w:p w:rsidR="00C939B9" w:rsidRDefault="00C939B9" w:rsidP="00C939B9"/>
    <w:p w:rsidR="005F2344" w:rsidRDefault="005F2344"/>
    <w:sectPr w:rsidR="005F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B9"/>
    <w:rsid w:val="005F2344"/>
    <w:rsid w:val="00C9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258"/>
  <w15:chartTrackingRefBased/>
  <w15:docId w15:val="{9AEB509F-596E-4926-AF23-A9379B7A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9B9"/>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2021-10-01T08:45:00Z</dcterms:created>
  <dcterms:modified xsi:type="dcterms:W3CDTF">2021-10-01T08:51:00Z</dcterms:modified>
</cp:coreProperties>
</file>