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A66E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A66E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3C08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66E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C08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3C0817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3C0817" w:rsidP="003C0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документов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D4" w:rsidRDefault="00DE64D4" w:rsidP="00C25C29">
      <w:pPr>
        <w:spacing w:after="0" w:line="240" w:lineRule="auto"/>
      </w:pPr>
      <w:r>
        <w:separator/>
      </w:r>
    </w:p>
  </w:endnote>
  <w:endnote w:type="continuationSeparator" w:id="0">
    <w:p w:rsidR="00DE64D4" w:rsidRDefault="00DE64D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D4" w:rsidRDefault="00DE64D4" w:rsidP="00C25C29">
      <w:pPr>
        <w:spacing w:after="0" w:line="240" w:lineRule="auto"/>
      </w:pPr>
      <w:r>
        <w:separator/>
      </w:r>
    </w:p>
  </w:footnote>
  <w:footnote w:type="continuationSeparator" w:id="0">
    <w:p w:rsidR="00DE64D4" w:rsidRDefault="00DE64D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90F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C0817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71002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6EB9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084A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64D4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920D-9329-4B4A-A06E-DF01D9B6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2021-07-27T11:21:00Z</dcterms:modified>
</cp:coreProperties>
</file>