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BB" w:rsidRPr="001A20F4" w:rsidRDefault="00BD7FBB" w:rsidP="00BD7F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:rsidR="00BD7FBB" w:rsidRDefault="00BD7FBB" w:rsidP="00BD7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BD7FBB" w:rsidRPr="00D64E57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электрических товаров</w:t>
      </w:r>
    </w:p>
    <w:p w:rsidR="00BD7FBB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B558F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>___ 2021 г.</w:t>
      </w:r>
    </w:p>
    <w:p w:rsidR="00BD7FBB" w:rsidRPr="009B558F" w:rsidRDefault="00BD7FBB" w:rsidP="00BD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 района и г. Рыбницы, именуемая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«Заказчик», в лице главы Тягай В. 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В., действующего на основании Закона ПМР от 05.11.1994 г. «Об органах местной власти, местного самоуправления и государственной администрации в ПМР»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действующей редакции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 с другой стороны и муниципальное учреждение «Рыбницкое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совместном упоминании именуемые «Стороны», на основании итогового протокола запроса предложений по закупке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электрических товаров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от ________2021 года № ___ заключи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 настоящий контракт (далее – К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онтракт) о нижеследующем: </w:t>
      </w:r>
    </w:p>
    <w:p w:rsidR="00BD7FBB" w:rsidRPr="003D0A4B" w:rsidRDefault="00BD7FBB" w:rsidP="00BD7FB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(электр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ические товары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BD7FBB" w:rsidRPr="003D0A4B" w:rsidRDefault="00BD7FBB" w:rsidP="00BD7FB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 в Спецификации (Приложение №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контракту), являющейся неотъемлемой частью настоящего контракта.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D7FBB" w:rsidRPr="003D0A4B" w:rsidRDefault="00BD7FBB" w:rsidP="00BD7F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нужд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«Рыбницкое управление народного образования»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BD7FBB" w:rsidRPr="003D0A4B" w:rsidRDefault="00BD7FBB" w:rsidP="00BD7FB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Расчет по настоящему Контракту производи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Заказчиком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 в безналичной форме путем перечисления денежных средств в рублях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риднестровской Молдавской Республики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расчетный счет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«Получатель»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свою очередь, производит расчет за поставленный товар в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течение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BD7FBB" w:rsidRPr="003D0A4B" w:rsidRDefault="00BD7FBB" w:rsidP="00BD7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973C4F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 поставки Товара</w:t>
      </w:r>
      <w:r w:rsidRPr="002B3CB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течение 20 (двадцати) дней с момента подписания уполномоченными представителями сторон Контракта.</w:t>
      </w:r>
    </w:p>
    <w:p w:rsidR="00BD7FBB" w:rsidRPr="00973C4F" w:rsidRDefault="00BD7FBB" w:rsidP="00BD7FB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73C4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Рыбница ул. Шевченко, 7. Доставка осуществляется за счет «Поставщика».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«Поставщика» к «Получателю».</w:t>
      </w:r>
    </w:p>
    <w:p w:rsidR="00BD7FBB" w:rsidRPr="00A7703E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части, качественным, комплектным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Товаром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либо возместить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>» стоимость некачественного, некомплектного Товара.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«Получателем» скрытых недостатков после приемки Товара, последний обязан изве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стить об этом «Поставщика» в 10-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3.8. настоящего К</w:t>
      </w:r>
      <w:r w:rsidRPr="003D0A4B">
        <w:rPr>
          <w:rFonts w:ascii="Times New Roman" w:eastAsia="Calibri" w:hAnsi="Times New Roman" w:cs="Times New Roman"/>
          <w:sz w:val="24"/>
          <w:szCs w:val="24"/>
        </w:rPr>
        <w:t>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BD7FBB" w:rsidRPr="003D0A4B" w:rsidRDefault="00BD7FBB" w:rsidP="00BD7FB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BD7FBB" w:rsidRPr="003D0A4B" w:rsidRDefault="00BD7FBB" w:rsidP="00BD7FB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BD7FBB" w:rsidRPr="003D0A4B" w:rsidRDefault="00BD7FBB" w:rsidP="00BD7FBB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своевременной оплаты Товара на условиях, предусмотренных Контрактом.</w:t>
      </w:r>
    </w:p>
    <w:p w:rsidR="00BD7FBB" w:rsidRPr="003D0A4B" w:rsidRDefault="00BD7FBB" w:rsidP="00BD7FBB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BD7FBB" w:rsidRPr="003D0A4B" w:rsidRDefault="00BD7FBB" w:rsidP="00BD7FBB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иные права, предусмотренные законодательством Приднестровской Молдавской Республики.</w:t>
      </w:r>
    </w:p>
    <w:p w:rsidR="00BD7FBB" w:rsidRPr="003D0A4B" w:rsidRDefault="00BD7FBB" w:rsidP="00BD7FB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BD7FBB" w:rsidRPr="003D0A4B" w:rsidRDefault="00BD7FBB" w:rsidP="00BD7FB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Товар, соответствующий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установленным настоящим Контрактом, по количеству, качеству и комплектности в порядке и сроки, установленные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настоящим Контрактом и действующим законодательством. </w:t>
      </w:r>
    </w:p>
    <w:p w:rsidR="00BD7FBB" w:rsidRPr="003D0A4B" w:rsidRDefault="00BD7FBB" w:rsidP="00BD7F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BD7FBB" w:rsidRPr="003D0A4B" w:rsidRDefault="00BD7FBB" w:rsidP="00BD7F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BD7FBB" w:rsidRPr="003D0A4B" w:rsidRDefault="00BD7FBB" w:rsidP="00BD7FB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BD7FBB" w:rsidRPr="003D0A4B" w:rsidRDefault="00BD7FBB" w:rsidP="00BD7F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BD7FBB" w:rsidRPr="003D0A4B" w:rsidRDefault="00BD7FBB" w:rsidP="00BD7F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BD7FBB" w:rsidRPr="003D0A4B" w:rsidRDefault="00BD7FBB" w:rsidP="00BD7F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авляемого Товара по настоящему К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онтракту указывается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сертификате к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чества (соответствия) Товара или в гарантийных талонах либо ином документе на Товар.</w:t>
      </w:r>
    </w:p>
    <w:p w:rsidR="00BD7FBB" w:rsidRPr="0003556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5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Гарантийный срок на поставленный Товар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«Поставщиком» и «Получателем».</w:t>
      </w:r>
    </w:p>
    <w:p w:rsidR="00BD7FBB" w:rsidRPr="007B104D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Гарантийного талона.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«Поставщик» несет ответственность за недостатки Товара, выявленные в течение гарантийного срока, если не докажет, что недостатки возникли вследствие нарушения «Получателем» условий хранения, эксплуатации Товара, либо ненадлежащих действий третьих лиц, либо под действием непреодолимой силы. 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</w:t>
      </w:r>
      <w:r>
        <w:rPr>
          <w:rFonts w:ascii="Times New Roman" w:eastAsia="Times New Roman" w:hAnsi="Times New Roman" w:cs="Times New Roman"/>
          <w:sz w:val="24"/>
          <w:szCs w:val="24"/>
        </w:rPr>
        <w:t>рантийной наклейки «Поставщика»/Производителя.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D7FBB" w:rsidRPr="003D0A4B" w:rsidRDefault="00BD7FBB" w:rsidP="00BD7FBB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BD7FBB" w:rsidRPr="003D0A4B" w:rsidRDefault="00BD7FBB" w:rsidP="00BD7FB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D7FBB" w:rsidRPr="003D0A4B" w:rsidRDefault="00BD7FBB" w:rsidP="00BD7FBB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BD7FBB" w:rsidRPr="003D0A4B" w:rsidRDefault="00BD7FBB" w:rsidP="00BD7FB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BD7FBB" w:rsidRPr="003D0A4B" w:rsidRDefault="00BD7FBB" w:rsidP="00BD7FB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D7FBB" w:rsidRPr="003D0A4B" w:rsidRDefault="00BD7FBB" w:rsidP="00BD7FB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BD7FBB" w:rsidRPr="003D0A4B" w:rsidRDefault="00BD7FBB" w:rsidP="00BD7F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</w:t>
      </w:r>
      <w:r>
        <w:rPr>
          <w:rFonts w:ascii="Times New Roman" w:eastAsia="Times New Roman" w:hAnsi="Times New Roman" w:cs="Times New Roman"/>
          <w:sz w:val="24"/>
          <w:szCs w:val="24"/>
        </w:rPr>
        <w:t>ения и дополнения к настоящему 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BD7FBB" w:rsidRPr="009B558F" w:rsidRDefault="00BD7FBB" w:rsidP="00BD7FBB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B558F" w:rsidRDefault="00BD7FBB" w:rsidP="00BD7FB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BD7FBB" w:rsidRPr="009B558F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 счет 20210000094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BD7FBB" w:rsidRPr="00A45BD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BD7FBB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 филиал, 2828</w:t>
      </w:r>
    </w:p>
    <w:p w:rsidR="00BD7FBB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«Рыбницкое УНО»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BD7FBB" w:rsidRPr="009B558F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BB" w:rsidRPr="009B558F" w:rsidRDefault="00BD7FBB" w:rsidP="00BD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7FBB" w:rsidRPr="009B558F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BD7FBB" w:rsidRPr="009B558F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7FBB" w:rsidRPr="009B558F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«РУНО»       _________________ Амброси О. Д.</w:t>
      </w:r>
    </w:p>
    <w:p w:rsidR="00BD7FBB" w:rsidRPr="009B558F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«РУНО»   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Ахтырская К. П.</w:t>
      </w: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D366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>Начальник отдела ПО и КП Госадминистрации Рыбницкого района и г. Рыбница</w:t>
      </w: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BD7FBB" w:rsidRPr="009D366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D366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:rsidR="00BD7FBB" w:rsidRPr="009D366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7FBB" w:rsidSect="003804CD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BD7FBB" w:rsidRDefault="00BD7FBB" w:rsidP="00BD7FBB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D7FBB" w:rsidRPr="00724176" w:rsidRDefault="00BD7FBB" w:rsidP="00BD7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«__»______20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7FBB" w:rsidRDefault="00BD7FBB" w:rsidP="00BD7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1052E6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BD7FBB" w:rsidRPr="00724176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BD7FBB" w:rsidRPr="00724176" w:rsidRDefault="00BD7FBB" w:rsidP="00BD7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FBB" w:rsidRPr="00724176" w:rsidRDefault="00BD7FBB" w:rsidP="00BD7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724176" w:rsidRDefault="00BD7FBB" w:rsidP="00BD7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96" w:type="dxa"/>
        <w:tblLook w:val="04A0" w:firstRow="1" w:lastRow="0" w:firstColumn="1" w:lastColumn="0" w:noHBand="0" w:noVBand="1"/>
      </w:tblPr>
      <w:tblGrid>
        <w:gridCol w:w="530"/>
        <w:gridCol w:w="4710"/>
        <w:gridCol w:w="816"/>
        <w:gridCol w:w="992"/>
        <w:gridCol w:w="1559"/>
        <w:gridCol w:w="1689"/>
      </w:tblGrid>
      <w:tr w:rsidR="00BD7FBB" w:rsidTr="00716E5F">
        <w:tc>
          <w:tcPr>
            <w:tcW w:w="530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D7FBB" w:rsidRPr="00173010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010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CC6ECD" w:rsidRDefault="00BD7FBB" w:rsidP="007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ампа люминесцентная линейная двухцокольная, цоколь Т8/G13, белая, длина 604 мм (18 Вт), температура цвета не менее 3500 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Pr="00753ABB" w:rsidRDefault="00BD7FBB" w:rsidP="0071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CC6ECD" w:rsidRDefault="00BD7FBB" w:rsidP="007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ампа люминесцентная линейная двухцокольная, цоколь Т8/G13 белая, длина 1 213,6 мм (36 Вт), температура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6000 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1 465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E50CC5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 одно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 xml:space="preserve">цокольная, номинальная мощность &gt;80 и </w:t>
            </w:r>
            <w:r w:rsidRPr="00CC6ECD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110 Вт, цоколь Е27, форма грушевидная, кроме ультрафиолетовой и инфракрасной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2 020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CC6ECD" w:rsidRDefault="00BD7FBB" w:rsidP="007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 xml:space="preserve">ампа светодиодная одноцокольная, номинальная мощность &gt;10 и </w:t>
            </w:r>
            <w:r w:rsidRPr="00CC6ECD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15 Вт, тип цоколя Е27, форма лампы грушевидная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1 365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AA7190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ыключатель бытовой, одноклавишный, наружный, цвет белый, номинальный ток 10 А, пластик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AA7190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озетка штепсельная бытового назначения, количество гнезд в корпусе – 1 шт., с заземлением, номинальный ток 16 А, тип розетки внешняя (накладная), цвет белый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E50CC5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ампа светодиодная, линейная, цоколь G13, тип колбы Т8, длина 1 200 мм (20 Вт), цветовая температура не менее 6000 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E159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E50CC5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ампа светодиодная, линейная, цоколь G13, тип колбы Т8, длина 600 мм (10 Вт), цветовая температура не менее 6000 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B" w:rsidRPr="00E50CC5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тартер S10, номинальная мощность от 4-80 Вт, номинальное напряжение 220-240 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Default="00BD7FBB" w:rsidP="00716E5F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BB" w:rsidTr="00716E5F">
        <w:tc>
          <w:tcPr>
            <w:tcW w:w="530" w:type="dxa"/>
            <w:vAlign w:val="center"/>
          </w:tcPr>
          <w:p w:rsidR="00BD7FBB" w:rsidRDefault="00BD7FBB" w:rsidP="007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BB" w:rsidRPr="00E50CC5" w:rsidRDefault="00BD7FBB" w:rsidP="00716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ECD">
              <w:rPr>
                <w:rFonts w:ascii="Times New Roman" w:hAnsi="Times New Roman" w:cs="Times New Roman"/>
                <w:sz w:val="24"/>
                <w:szCs w:val="24"/>
              </w:rPr>
              <w:t>стройство осветительное электрическое светодиодное подвесное СПО 120*2, четырехцокольное, цоколь G13, тип колбы Т8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B" w:rsidRPr="003201C2" w:rsidRDefault="00BD7FBB" w:rsidP="0071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Pr="00EE159A" w:rsidRDefault="00BD7FBB" w:rsidP="007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5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7FBB" w:rsidRDefault="00BD7FBB" w:rsidP="0071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FBB" w:rsidRDefault="00BD7FBB" w:rsidP="00BD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Default="00BD7FBB" w:rsidP="00BD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 счет 20210000094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BD7FBB" w:rsidRPr="00A45BD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BD7FBB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87610F" w:rsidRDefault="00BD7FBB" w:rsidP="00BD7FBB">
      <w:pPr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Рыбницкий филиал, 2828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МУ «Рыбницкое УНО»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7610F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:rsidR="00BD7FBB" w:rsidRPr="006C3C38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2021 г.  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Главный бухгалтер МУ «РУНО»       _________________ Амброси О. Д.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Юрист МУ «РУНО»                            _________________ Ахтырская К. П.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Начальник отдела ПО и КП Госадминистрации Рыбницкого района и г. Рыбница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:rsidR="00BD7FBB" w:rsidRPr="0087610F" w:rsidRDefault="00BD7FBB" w:rsidP="00BD7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:rsidR="00BD7FBB" w:rsidRPr="0087610F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C611D" w:rsidRDefault="00BD7FBB" w:rsidP="00BD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765" w:rsidRDefault="00C44765">
      <w:bookmarkStart w:id="2" w:name="_GoBack"/>
      <w:bookmarkEnd w:id="2"/>
    </w:p>
    <w:sectPr w:rsidR="00C44765" w:rsidSect="00FE7B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6B2931"/>
    <w:multiLevelType w:val="multilevel"/>
    <w:tmpl w:val="76D088D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664671"/>
    <w:multiLevelType w:val="multilevel"/>
    <w:tmpl w:val="4F90C318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4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5"/>
    <w:rsid w:val="00203455"/>
    <w:rsid w:val="00BD7FBB"/>
    <w:rsid w:val="00C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9238-3517-46BF-974A-8DFDE0A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D7FB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BD7FB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BD7FBB"/>
    <w:pPr>
      <w:numPr>
        <w:numId w:val="18"/>
      </w:numPr>
    </w:pPr>
  </w:style>
  <w:style w:type="table" w:customStyle="1" w:styleId="3">
    <w:name w:val="Сетка таблицы3"/>
    <w:basedOn w:val="a1"/>
    <w:next w:val="a3"/>
    <w:uiPriority w:val="59"/>
    <w:rsid w:val="00BD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2021-07-12T12:28:00Z</dcterms:created>
  <dcterms:modified xsi:type="dcterms:W3CDTF">2021-07-12T12:28:00Z</dcterms:modified>
</cp:coreProperties>
</file>