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60D35CB3" w:rsidR="00B13D03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4652AA">
        <w:rPr>
          <w:rFonts w:ascii="Times New Roman" w:hAnsi="Times New Roman" w:cs="Times New Roman"/>
          <w:sz w:val="24"/>
          <w:szCs w:val="24"/>
        </w:rPr>
        <w:t xml:space="preserve"> </w:t>
      </w:r>
      <w:r w:rsidR="00D673C9" w:rsidRPr="00D673C9">
        <w:rPr>
          <w:rFonts w:ascii="Times New Roman" w:hAnsi="Times New Roman" w:cs="Times New Roman"/>
          <w:sz w:val="24"/>
          <w:szCs w:val="24"/>
        </w:rPr>
        <w:t xml:space="preserve">сертификат или декларация соответствия; инструкция по эксплуатации и монтажу БКТП; габаритные чертежи БКТП и детальный план размещения оборудования; однолинейную принципиальную схему подстанции; </w:t>
      </w:r>
      <w:r w:rsidR="00B026C6" w:rsidRPr="00B026C6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на поставку блочных комплектных трансформаторных подстанций в железобетонном корпусе для нужд ГУП «ЕРЭС» в 2024 году согласно приложению № 5;</w:t>
      </w: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4AEE5C9B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B026C6">
        <w:rPr>
          <w:rFonts w:ascii="Times New Roman" w:hAnsi="Times New Roman" w:cs="Times New Roman"/>
          <w:sz w:val="24"/>
          <w:szCs w:val="24"/>
        </w:rPr>
        <w:t>20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B026C6">
        <w:rPr>
          <w:rFonts w:ascii="Times New Roman" w:hAnsi="Times New Roman" w:cs="Times New Roman"/>
          <w:sz w:val="24"/>
          <w:szCs w:val="24"/>
        </w:rPr>
        <w:t>8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D673C9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lastRenderedPageBreak/>
        <w:t>Дата окончания срока предоставления участникам аукциона разъяснений положений</w:t>
      </w:r>
    </w:p>
    <w:p w14:paraId="3FB10E29" w14:textId="0F150F5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B026C6">
        <w:rPr>
          <w:rFonts w:ascii="Times New Roman" w:hAnsi="Times New Roman" w:cs="Times New Roman"/>
          <w:sz w:val="24"/>
          <w:szCs w:val="24"/>
        </w:rPr>
        <w:t>26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B026C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D673C9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47E7B"/>
    <w:rsid w:val="00554DE7"/>
    <w:rsid w:val="00555D0B"/>
    <w:rsid w:val="00590BFB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026C6"/>
    <w:rsid w:val="00B13D03"/>
    <w:rsid w:val="00B51516"/>
    <w:rsid w:val="00B57906"/>
    <w:rsid w:val="00B618F5"/>
    <w:rsid w:val="00B62AE1"/>
    <w:rsid w:val="00B7016C"/>
    <w:rsid w:val="00B75488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673C9"/>
    <w:rsid w:val="00D81188"/>
    <w:rsid w:val="00D94863"/>
    <w:rsid w:val="00DA53C4"/>
    <w:rsid w:val="00DB31F4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70</cp:revision>
  <cp:lastPrinted>2022-02-07T13:47:00Z</cp:lastPrinted>
  <dcterms:created xsi:type="dcterms:W3CDTF">2021-02-19T09:30:00Z</dcterms:created>
  <dcterms:modified xsi:type="dcterms:W3CDTF">2024-08-19T13:50:00Z</dcterms:modified>
</cp:coreProperties>
</file>