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9008AA">
        <w:rPr>
          <w:sz w:val="24"/>
          <w:szCs w:val="24"/>
        </w:rPr>
        <w:t>вспомогательные материалы</w:t>
      </w:r>
      <w:r w:rsidR="003332FB" w:rsidRPr="00E321C5">
        <w:rPr>
          <w:sz w:val="24"/>
          <w:szCs w:val="24"/>
        </w:rPr>
        <w:t xml:space="preserve"> (далее - Товар)</w:t>
      </w:r>
      <w:r w:rsidR="006E6B78" w:rsidRPr="00E321C5">
        <w:rPr>
          <w:sz w:val="24"/>
          <w:szCs w:val="24"/>
        </w:rPr>
        <w:t xml:space="preserve"> в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E670C2">
        <w:rPr>
          <w:sz w:val="24"/>
          <w:szCs w:val="24"/>
        </w:rPr>
        <w:t>20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E670C2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40CC2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670C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7C51-B58F-4B74-8D98-6CA6454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53</cp:revision>
  <cp:lastPrinted>2021-05-31T10:38:00Z</cp:lastPrinted>
  <dcterms:created xsi:type="dcterms:W3CDTF">2021-03-01T13:45:00Z</dcterms:created>
  <dcterms:modified xsi:type="dcterms:W3CDTF">2021-06-11T13:04:00Z</dcterms:modified>
</cp:coreProperties>
</file>