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240FCF3F"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2C7A62">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AC7D05">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B46E5E">
        <w:rPr>
          <w:rFonts w:ascii="Times New Roman" w:eastAsia="Times New Roman" w:hAnsi="Times New Roman" w:cs="Times New Roman"/>
          <w:sz w:val="24"/>
          <w:szCs w:val="24"/>
        </w:rPr>
        <w:t xml:space="preserve">открытого аукциона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B46E5E">
        <w:rPr>
          <w:rFonts w:ascii="Times New Roman" w:eastAsia="Times New Roman" w:hAnsi="Times New Roman" w:cs="Times New Roman"/>
          <w:bCs/>
          <w:sz w:val="24"/>
          <w:szCs w:val="24"/>
        </w:rPr>
        <w:t xml:space="preserve">открытого аукциона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7275876F" w:rsidR="00344E1C" w:rsidRDefault="00A94812" w:rsidP="00681547">
      <w:pPr>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A92B65">
        <w:rPr>
          <w:rFonts w:ascii="Times New Roman" w:hAnsi="Times New Roman" w:cs="Times New Roman"/>
          <w:sz w:val="24"/>
          <w:szCs w:val="24"/>
        </w:rPr>
        <w:t xml:space="preserve"> </w:t>
      </w:r>
      <w:r w:rsidR="00B46E5E" w:rsidRPr="00B46E5E">
        <w:rPr>
          <w:rFonts w:ascii="Times New Roman" w:hAnsi="Times New Roman" w:cs="Times New Roman"/>
          <w:sz w:val="24"/>
          <w:szCs w:val="24"/>
        </w:rPr>
        <w:t xml:space="preserve">МОУ ДО </w:t>
      </w:r>
      <w:r w:rsidR="00616CE9">
        <w:rPr>
          <w:rFonts w:ascii="Times New Roman" w:hAnsi="Times New Roman" w:cs="Times New Roman"/>
        </w:rPr>
        <w:t>«</w:t>
      </w:r>
      <w:r w:rsidR="00B46E5E" w:rsidRPr="002C7A62">
        <w:rPr>
          <w:rFonts w:ascii="Times New Roman" w:hAnsi="Times New Roman" w:cs="Times New Roman"/>
          <w:sz w:val="24"/>
          <w:szCs w:val="24"/>
        </w:rPr>
        <w:t xml:space="preserve">СДЮШОР </w:t>
      </w:r>
      <w:r w:rsidR="00B46E5E" w:rsidRPr="00B46E5E">
        <w:rPr>
          <w:rFonts w:ascii="Times New Roman" w:hAnsi="Times New Roman" w:cs="Times New Roman"/>
          <w:sz w:val="24"/>
          <w:szCs w:val="24"/>
        </w:rPr>
        <w:t xml:space="preserve">борьбы им. Г. Н. </w:t>
      </w:r>
      <w:proofErr w:type="spellStart"/>
      <w:r w:rsidR="00B46E5E" w:rsidRPr="00B46E5E">
        <w:rPr>
          <w:rFonts w:ascii="Times New Roman" w:hAnsi="Times New Roman" w:cs="Times New Roman"/>
          <w:sz w:val="24"/>
          <w:szCs w:val="24"/>
        </w:rPr>
        <w:t>Баданова</w:t>
      </w:r>
      <w:proofErr w:type="spellEnd"/>
      <w:r w:rsidR="00B46E5E" w:rsidRPr="00B46E5E">
        <w:rPr>
          <w:rFonts w:ascii="Times New Roman" w:hAnsi="Times New Roman" w:cs="Times New Roman"/>
          <w:sz w:val="24"/>
          <w:szCs w:val="24"/>
        </w:rPr>
        <w:t>»</w:t>
      </w:r>
      <w:bookmarkStart w:id="0" w:name="_GoBack"/>
      <w:bookmarkEnd w:id="0"/>
      <w:r w:rsidR="002C7A62" w:rsidRPr="002C7A62">
        <w:rPr>
          <w:rFonts w:ascii="Times New Roman" w:hAnsi="Times New Roman" w:cs="Times New Roman"/>
          <w:sz w:val="24"/>
          <w:szCs w:val="24"/>
        </w:rPr>
        <w:t xml:space="preserve"> </w:t>
      </w:r>
      <w:r w:rsidR="00B46E5E" w:rsidRPr="00B46E5E">
        <w:rPr>
          <w:rFonts w:ascii="Times New Roman" w:hAnsi="Times New Roman" w:cs="Times New Roman"/>
          <w:b/>
          <w:bCs/>
          <w:sz w:val="24"/>
          <w:szCs w:val="24"/>
        </w:rPr>
        <w:t>(замена оконных блоков)</w:t>
      </w:r>
      <w:r w:rsidR="006926E8">
        <w:rPr>
          <w:rFonts w:ascii="Times New Roman" w:hAnsi="Times New Roman" w:cs="Times New Roman"/>
          <w:b/>
          <w:bCs/>
          <w:sz w:val="24"/>
          <w:szCs w:val="24"/>
        </w:rPr>
        <w:t xml:space="preserve">, </w:t>
      </w:r>
      <w:r w:rsidR="006926E8" w:rsidRPr="006926E8">
        <w:rPr>
          <w:rFonts w:ascii="Times New Roman" w:hAnsi="Times New Roman" w:cs="Times New Roman"/>
          <w:sz w:val="24"/>
          <w:szCs w:val="24"/>
        </w:rPr>
        <w:t>расположенного по адресу: г. Бендеры, ул. Советская, 68</w:t>
      </w:r>
      <w:r w:rsidR="00B46E5E" w:rsidRPr="00B46E5E">
        <w:rPr>
          <w:rFonts w:ascii="Times New Roman" w:hAnsi="Times New Roman" w:cs="Times New Roman"/>
          <w:sz w:val="24"/>
          <w:szCs w:val="24"/>
        </w:rPr>
        <w:t xml:space="preserve">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114EC4D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9D18DF">
        <w:rPr>
          <w:rFonts w:ascii="Times New Roman" w:hAnsi="Times New Roman" w:cs="Times New Roman"/>
          <w:b/>
          <w:bCs/>
          <w:sz w:val="24"/>
          <w:szCs w:val="24"/>
        </w:rPr>
        <w:t xml:space="preserve"> открытого аукциона</w:t>
      </w:r>
      <w:r w:rsidRPr="00926239">
        <w:rPr>
          <w:rFonts w:ascii="Times New Roman" w:hAnsi="Times New Roman" w:cs="Times New Roman"/>
          <w:b/>
          <w:bCs/>
          <w:sz w:val="24"/>
          <w:szCs w:val="24"/>
        </w:rPr>
        <w:t xml:space="preserve">) </w:t>
      </w:r>
    </w:p>
    <w:p w14:paraId="5950E884" w14:textId="71D6C4AF"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1"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1"/>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ED4F22">
        <w:rPr>
          <w:rFonts w:ascii="Times New Roman" w:hAnsi="Times New Roman" w:cs="Times New Roman"/>
          <w:sz w:val="24"/>
          <w:szCs w:val="24"/>
        </w:rPr>
        <w:t xml:space="preserve"> 1</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под</w:t>
      </w:r>
      <w:r w:rsidR="00595B8A">
        <w:rPr>
          <w:rFonts w:ascii="Times New Roman" w:hAnsi="Times New Roman" w:cs="Times New Roman"/>
          <w:sz w:val="24"/>
          <w:szCs w:val="24"/>
        </w:rPr>
        <w:t xml:space="preserve">пункта </w:t>
      </w:r>
      <w:r w:rsidR="00FE68F8">
        <w:rPr>
          <w:rFonts w:ascii="Times New Roman" w:hAnsi="Times New Roman" w:cs="Times New Roman"/>
          <w:sz w:val="24"/>
          <w:szCs w:val="24"/>
        </w:rPr>
        <w:t>1.</w:t>
      </w:r>
      <w:r w:rsidR="00ED4F22">
        <w:rPr>
          <w:rFonts w:ascii="Times New Roman" w:hAnsi="Times New Roman" w:cs="Times New Roman"/>
          <w:sz w:val="24"/>
          <w:szCs w:val="24"/>
        </w:rPr>
        <w:t>2</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 xml:space="preserve">пункта 1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7AF118CB"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656B9C">
        <w:rPr>
          <w:rFonts w:ascii="Times New Roman" w:hAnsi="Times New Roman" w:cs="Times New Roman"/>
          <w:b/>
          <w:bCs/>
          <w:sz w:val="24"/>
          <w:szCs w:val="24"/>
        </w:rPr>
        <w:t xml:space="preserve"> открытого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58263D59"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дальнейшую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6B5A0312"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2"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2"/>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w:t>
      </w:r>
      <w:r w:rsidR="00970E5A">
        <w:rPr>
          <w:rFonts w:ascii="Times New Roman" w:hAnsi="Times New Roman" w:cs="Times New Roman"/>
          <w:sz w:val="24"/>
          <w:szCs w:val="24"/>
        </w:rPr>
        <w:t>5</w:t>
      </w:r>
      <w:r w:rsidR="00AE7FC2">
        <w:rPr>
          <w:rFonts w:ascii="Times New Roman" w:hAnsi="Times New Roman" w:cs="Times New Roman"/>
          <w:sz w:val="24"/>
          <w:szCs w:val="24"/>
        </w:rPr>
        <w:t xml:space="preserve"> </w:t>
      </w:r>
      <w:r w:rsidR="00970E5A">
        <w:rPr>
          <w:rFonts w:ascii="Times New Roman" w:hAnsi="Times New Roman" w:cs="Times New Roman"/>
          <w:sz w:val="24"/>
          <w:szCs w:val="24"/>
        </w:rPr>
        <w:t xml:space="preserve">августа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0C35148F"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5 лет с момента подписания акта выполненных работ</w:t>
      </w:r>
      <w:r w:rsidR="00360C7F">
        <w:rPr>
          <w:rFonts w:ascii="Times New Roman" w:hAnsi="Times New Roman" w:cs="Times New Roman"/>
          <w:sz w:val="24"/>
          <w:szCs w:val="24"/>
        </w:rPr>
        <w:t xml:space="preserve">. </w:t>
      </w:r>
      <w:r w:rsidR="00BF1704" w:rsidRPr="00BF1704">
        <w:rPr>
          <w:rFonts w:ascii="Times New Roman" w:hAnsi="Times New Roman" w:cs="Times New Roman"/>
          <w:sz w:val="24"/>
          <w:szCs w:val="24"/>
        </w:rPr>
        <w:t>Срок эксплуатации комп</w:t>
      </w:r>
      <w:r w:rsidR="00AC7D05">
        <w:rPr>
          <w:rFonts w:ascii="Times New Roman" w:hAnsi="Times New Roman" w:cs="Times New Roman"/>
          <w:sz w:val="24"/>
          <w:szCs w:val="24"/>
        </w:rPr>
        <w:t>лектующих (фурнитуры) для окон 3 года.</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7398EF72"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7</w:t>
      </w:r>
      <w:r w:rsidRPr="009E26BF">
        <w:rPr>
          <w:rFonts w:ascii="Times New Roman" w:hAnsi="Times New Roman" w:cs="Times New Roman"/>
          <w:color w:val="000000" w:themeColor="text1"/>
          <w:sz w:val="24"/>
          <w:szCs w:val="24"/>
        </w:rPr>
        <w:t>.4.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540E087B"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357D9C">
        <w:rPr>
          <w:rFonts w:ascii="Times New Roman" w:hAnsi="Times New Roman" w:cs="Times New Roman"/>
          <w:b/>
          <w:bCs/>
          <w:color w:val="000000" w:themeColor="text1"/>
          <w:sz w:val="24"/>
          <w:szCs w:val="24"/>
        </w:rPr>
        <w:t xml:space="preserve"> открытого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3"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r w:rsidRPr="007E596E">
              <w:rPr>
                <w:rFonts w:cs="Times New Roman"/>
                <w:szCs w:val="24"/>
              </w:rPr>
              <w:t xml:space="preserve">г.Бендеры, ул. Ленина, 17,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 xml:space="preserve">ЗАО «Приднестровский </w:t>
            </w:r>
            <w:r w:rsidRPr="007E596E">
              <w:rPr>
                <w:rFonts w:cs="Times New Roman"/>
                <w:szCs w:val="24"/>
              </w:rPr>
              <w:lastRenderedPageBreak/>
              <w:t>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r w:rsidRPr="002C7A62">
              <w:rPr>
                <w:rFonts w:cs="Times New Roman"/>
                <w:color w:val="FFFFFF" w:themeColor="background1"/>
              </w:rPr>
              <w:t xml:space="preserve">Р.Д. Иванченко      </w:t>
            </w:r>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3"/>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1966E3">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EC73B" w14:textId="77777777" w:rsidR="0091378A" w:rsidRDefault="0091378A" w:rsidP="002E7DF1">
      <w:pPr>
        <w:spacing w:after="0" w:line="240" w:lineRule="auto"/>
      </w:pPr>
      <w:r>
        <w:separator/>
      </w:r>
    </w:p>
  </w:endnote>
  <w:endnote w:type="continuationSeparator" w:id="0">
    <w:p w14:paraId="380741D4" w14:textId="77777777" w:rsidR="0091378A" w:rsidRDefault="0091378A"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904A" w14:textId="77777777" w:rsidR="0091378A" w:rsidRDefault="0091378A" w:rsidP="002E7DF1">
      <w:pPr>
        <w:spacing w:after="0" w:line="240" w:lineRule="auto"/>
      </w:pPr>
      <w:r>
        <w:separator/>
      </w:r>
    </w:p>
  </w:footnote>
  <w:footnote w:type="continuationSeparator" w:id="0">
    <w:p w14:paraId="76BAE0A9" w14:textId="77777777" w:rsidR="0091378A" w:rsidRDefault="0091378A"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3EAA"/>
    <w:rsid w:val="001966E3"/>
    <w:rsid w:val="00197F99"/>
    <w:rsid w:val="001A32D0"/>
    <w:rsid w:val="001A41BF"/>
    <w:rsid w:val="001E4930"/>
    <w:rsid w:val="002317B2"/>
    <w:rsid w:val="0024017B"/>
    <w:rsid w:val="002513B6"/>
    <w:rsid w:val="0025392B"/>
    <w:rsid w:val="0027130B"/>
    <w:rsid w:val="00277643"/>
    <w:rsid w:val="00277E8B"/>
    <w:rsid w:val="00290B74"/>
    <w:rsid w:val="002935F4"/>
    <w:rsid w:val="00295E42"/>
    <w:rsid w:val="002A2751"/>
    <w:rsid w:val="002A6A4B"/>
    <w:rsid w:val="002A7259"/>
    <w:rsid w:val="002B046F"/>
    <w:rsid w:val="002C27CD"/>
    <w:rsid w:val="002C388F"/>
    <w:rsid w:val="002C7A62"/>
    <w:rsid w:val="002E01D7"/>
    <w:rsid w:val="002E785E"/>
    <w:rsid w:val="002E7DF1"/>
    <w:rsid w:val="002F494B"/>
    <w:rsid w:val="00301403"/>
    <w:rsid w:val="00320036"/>
    <w:rsid w:val="00324C82"/>
    <w:rsid w:val="00325EBF"/>
    <w:rsid w:val="003420A1"/>
    <w:rsid w:val="00344904"/>
    <w:rsid w:val="00344E1C"/>
    <w:rsid w:val="00351451"/>
    <w:rsid w:val="003542DF"/>
    <w:rsid w:val="00357D9C"/>
    <w:rsid w:val="00360834"/>
    <w:rsid w:val="00360C7F"/>
    <w:rsid w:val="003671B0"/>
    <w:rsid w:val="003722AC"/>
    <w:rsid w:val="00374FF5"/>
    <w:rsid w:val="003777C9"/>
    <w:rsid w:val="00381D21"/>
    <w:rsid w:val="00390ABA"/>
    <w:rsid w:val="003C420D"/>
    <w:rsid w:val="003C4344"/>
    <w:rsid w:val="003D5A9B"/>
    <w:rsid w:val="003D7FB0"/>
    <w:rsid w:val="003E0FCC"/>
    <w:rsid w:val="003F0DB4"/>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16CE9"/>
    <w:rsid w:val="006203F1"/>
    <w:rsid w:val="00632AC7"/>
    <w:rsid w:val="0064190A"/>
    <w:rsid w:val="00641FFF"/>
    <w:rsid w:val="0064249D"/>
    <w:rsid w:val="00656B9C"/>
    <w:rsid w:val="006609E6"/>
    <w:rsid w:val="006749D6"/>
    <w:rsid w:val="00681547"/>
    <w:rsid w:val="006926E8"/>
    <w:rsid w:val="00694500"/>
    <w:rsid w:val="006956DE"/>
    <w:rsid w:val="006A495D"/>
    <w:rsid w:val="006A549D"/>
    <w:rsid w:val="006A56CF"/>
    <w:rsid w:val="006B1040"/>
    <w:rsid w:val="006B31E5"/>
    <w:rsid w:val="006C2DEB"/>
    <w:rsid w:val="006C5FAE"/>
    <w:rsid w:val="006F4A88"/>
    <w:rsid w:val="006F7352"/>
    <w:rsid w:val="00705DE4"/>
    <w:rsid w:val="00710C83"/>
    <w:rsid w:val="00714D25"/>
    <w:rsid w:val="00737F4B"/>
    <w:rsid w:val="00741563"/>
    <w:rsid w:val="00743FA7"/>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57F3C"/>
    <w:rsid w:val="008604AD"/>
    <w:rsid w:val="00864571"/>
    <w:rsid w:val="00872F5F"/>
    <w:rsid w:val="008731A6"/>
    <w:rsid w:val="0087638F"/>
    <w:rsid w:val="00891539"/>
    <w:rsid w:val="008A638F"/>
    <w:rsid w:val="008D6F3B"/>
    <w:rsid w:val="008E4A7B"/>
    <w:rsid w:val="008E4C9B"/>
    <w:rsid w:val="008F01A6"/>
    <w:rsid w:val="008F38B4"/>
    <w:rsid w:val="009076F2"/>
    <w:rsid w:val="009121DD"/>
    <w:rsid w:val="0091239F"/>
    <w:rsid w:val="0091241C"/>
    <w:rsid w:val="0091378A"/>
    <w:rsid w:val="00926B7F"/>
    <w:rsid w:val="0092718A"/>
    <w:rsid w:val="00932673"/>
    <w:rsid w:val="00947265"/>
    <w:rsid w:val="00967A5B"/>
    <w:rsid w:val="00970E5A"/>
    <w:rsid w:val="0097239F"/>
    <w:rsid w:val="00972CC2"/>
    <w:rsid w:val="00973E5A"/>
    <w:rsid w:val="00981FEE"/>
    <w:rsid w:val="00985FFB"/>
    <w:rsid w:val="00991F17"/>
    <w:rsid w:val="009B45C0"/>
    <w:rsid w:val="009B53C0"/>
    <w:rsid w:val="009C0730"/>
    <w:rsid w:val="009D18DF"/>
    <w:rsid w:val="009D5F19"/>
    <w:rsid w:val="009D6B57"/>
    <w:rsid w:val="009F5D54"/>
    <w:rsid w:val="00A12254"/>
    <w:rsid w:val="00A20572"/>
    <w:rsid w:val="00A20EB8"/>
    <w:rsid w:val="00A26269"/>
    <w:rsid w:val="00A34965"/>
    <w:rsid w:val="00A40726"/>
    <w:rsid w:val="00A70446"/>
    <w:rsid w:val="00A72F66"/>
    <w:rsid w:val="00A92B65"/>
    <w:rsid w:val="00A94812"/>
    <w:rsid w:val="00A95FA1"/>
    <w:rsid w:val="00A96782"/>
    <w:rsid w:val="00AA7A3D"/>
    <w:rsid w:val="00AB4177"/>
    <w:rsid w:val="00AC76C8"/>
    <w:rsid w:val="00AC7D05"/>
    <w:rsid w:val="00AD470F"/>
    <w:rsid w:val="00AE2EC5"/>
    <w:rsid w:val="00AE7FC2"/>
    <w:rsid w:val="00AF45DB"/>
    <w:rsid w:val="00AF4DAE"/>
    <w:rsid w:val="00AF633E"/>
    <w:rsid w:val="00B15CF8"/>
    <w:rsid w:val="00B25484"/>
    <w:rsid w:val="00B33311"/>
    <w:rsid w:val="00B4671B"/>
    <w:rsid w:val="00B46E5E"/>
    <w:rsid w:val="00B47A31"/>
    <w:rsid w:val="00B5016F"/>
    <w:rsid w:val="00B51EBF"/>
    <w:rsid w:val="00B52894"/>
    <w:rsid w:val="00B70FE4"/>
    <w:rsid w:val="00B7592A"/>
    <w:rsid w:val="00B76CDD"/>
    <w:rsid w:val="00B80A32"/>
    <w:rsid w:val="00B812B8"/>
    <w:rsid w:val="00B827F8"/>
    <w:rsid w:val="00B93693"/>
    <w:rsid w:val="00B93E0E"/>
    <w:rsid w:val="00BA2A35"/>
    <w:rsid w:val="00BB2DFB"/>
    <w:rsid w:val="00BB41DB"/>
    <w:rsid w:val="00BD0CDB"/>
    <w:rsid w:val="00BE585E"/>
    <w:rsid w:val="00BF1704"/>
    <w:rsid w:val="00C04E77"/>
    <w:rsid w:val="00C05C38"/>
    <w:rsid w:val="00C1229F"/>
    <w:rsid w:val="00C13856"/>
    <w:rsid w:val="00C23C7F"/>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C2925"/>
    <w:rsid w:val="00CC3751"/>
    <w:rsid w:val="00CC52AC"/>
    <w:rsid w:val="00CD21DA"/>
    <w:rsid w:val="00CD31DE"/>
    <w:rsid w:val="00CE4F79"/>
    <w:rsid w:val="00CF49BE"/>
    <w:rsid w:val="00CF5747"/>
    <w:rsid w:val="00D01D4D"/>
    <w:rsid w:val="00D0241C"/>
    <w:rsid w:val="00D02F4D"/>
    <w:rsid w:val="00D04F3E"/>
    <w:rsid w:val="00D04FDE"/>
    <w:rsid w:val="00D22918"/>
    <w:rsid w:val="00D26B71"/>
    <w:rsid w:val="00D3506A"/>
    <w:rsid w:val="00D6528C"/>
    <w:rsid w:val="00D6585D"/>
    <w:rsid w:val="00D7033F"/>
    <w:rsid w:val="00D914F2"/>
    <w:rsid w:val="00D94523"/>
    <w:rsid w:val="00D94D6E"/>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4F22"/>
    <w:rsid w:val="00ED71A2"/>
    <w:rsid w:val="00EE0D42"/>
    <w:rsid w:val="00EE417B"/>
    <w:rsid w:val="00EE69B9"/>
    <w:rsid w:val="00EF6EAD"/>
    <w:rsid w:val="00F007D5"/>
    <w:rsid w:val="00F031D1"/>
    <w:rsid w:val="00F037E3"/>
    <w:rsid w:val="00F11176"/>
    <w:rsid w:val="00F21FD1"/>
    <w:rsid w:val="00F34C3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80BAC"/>
  <w15:docId w15:val="{3E8A4B9B-A20E-47AD-9F12-B624D70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236</cp:revision>
  <cp:lastPrinted>2021-07-16T10:44:00Z</cp:lastPrinted>
  <dcterms:created xsi:type="dcterms:W3CDTF">2023-06-07T05:51:00Z</dcterms:created>
  <dcterms:modified xsi:type="dcterms:W3CDTF">2024-03-14T07:45:00Z</dcterms:modified>
</cp:coreProperties>
</file>