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E321C5">
        <w:rPr>
          <w:sz w:val="24"/>
          <w:szCs w:val="24"/>
        </w:rPr>
        <w:t>Получател</w:t>
      </w:r>
      <w:r w:rsidR="00973A91" w:rsidRPr="00E321C5">
        <w:rPr>
          <w:sz w:val="24"/>
          <w:szCs w:val="24"/>
        </w:rPr>
        <w:t>я</w:t>
      </w:r>
      <w:r w:rsidR="00BD0207" w:rsidRPr="00E321C5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канцелярские товары</w:t>
      </w:r>
      <w:r w:rsidR="003332FB" w:rsidRPr="00E321C5">
        <w:rPr>
          <w:sz w:val="24"/>
          <w:szCs w:val="24"/>
        </w:rPr>
        <w:t xml:space="preserve"> (далее - Товар)</w:t>
      </w:r>
      <w:r w:rsidR="006E6B78" w:rsidRPr="00E321C5">
        <w:rPr>
          <w:sz w:val="24"/>
          <w:szCs w:val="24"/>
        </w:rPr>
        <w:t xml:space="preserve"> в количестве и</w:t>
      </w:r>
      <w:r w:rsidR="00380D75" w:rsidRPr="00E321C5">
        <w:rPr>
          <w:sz w:val="24"/>
          <w:szCs w:val="24"/>
        </w:rPr>
        <w:t xml:space="preserve"> на условиях настоящего </w:t>
      </w:r>
      <w:r w:rsidR="00E849E1" w:rsidRPr="00E321C5">
        <w:rPr>
          <w:sz w:val="24"/>
          <w:szCs w:val="24"/>
        </w:rPr>
        <w:t>контракт</w:t>
      </w:r>
      <w:r w:rsidR="006E6B78" w:rsidRPr="00E321C5">
        <w:rPr>
          <w:sz w:val="24"/>
          <w:szCs w:val="24"/>
        </w:rPr>
        <w:t>а</w:t>
      </w:r>
      <w:r w:rsidR="00E849E1" w:rsidRPr="00E321C5">
        <w:rPr>
          <w:sz w:val="24"/>
          <w:szCs w:val="24"/>
        </w:rPr>
        <w:t>,</w:t>
      </w:r>
      <w:r w:rsidR="00C7682F" w:rsidRPr="00E321C5">
        <w:rPr>
          <w:sz w:val="24"/>
          <w:szCs w:val="24"/>
        </w:rPr>
        <w:t xml:space="preserve"> </w:t>
      </w:r>
      <w:r w:rsidR="008F10F5" w:rsidRPr="00E321C5">
        <w:rPr>
          <w:sz w:val="24"/>
          <w:szCs w:val="24"/>
        </w:rPr>
        <w:t xml:space="preserve">а </w:t>
      </w:r>
      <w:r w:rsidR="00256B4A" w:rsidRPr="00E321C5">
        <w:rPr>
          <w:sz w:val="24"/>
          <w:szCs w:val="24"/>
        </w:rPr>
        <w:t>Получатель</w:t>
      </w:r>
      <w:r w:rsidR="008F10F5" w:rsidRPr="00E321C5">
        <w:rPr>
          <w:sz w:val="24"/>
          <w:szCs w:val="24"/>
        </w:rPr>
        <w:t xml:space="preserve"> обязуется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58467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  <w:bookmarkStart w:id="2" w:name="_GoBack"/>
      <w:bookmarkEnd w:id="2"/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8BF59-104E-4D98-8528-8B2DCA58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47</cp:revision>
  <cp:lastPrinted>2021-05-31T10:38:00Z</cp:lastPrinted>
  <dcterms:created xsi:type="dcterms:W3CDTF">2021-03-01T13:45:00Z</dcterms:created>
  <dcterms:modified xsi:type="dcterms:W3CDTF">2021-06-07T08:08:00Z</dcterms:modified>
</cp:coreProperties>
</file>