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1B" w:rsidRPr="00A166F3" w:rsidRDefault="00573D1B" w:rsidP="00573D1B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573D1B" w:rsidRPr="00A166F3" w:rsidRDefault="00573D1B" w:rsidP="00573D1B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573D1B" w:rsidRPr="00A166F3" w:rsidRDefault="00573D1B" w:rsidP="00573D1B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573D1B" w:rsidRDefault="00573D1B" w:rsidP="00573D1B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73D1B" w:rsidRDefault="00573D1B" w:rsidP="00573D1B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73D1B" w:rsidRPr="00A166F3" w:rsidRDefault="00573D1B" w:rsidP="00573D1B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73D1B" w:rsidRPr="008E5062" w:rsidRDefault="00573D1B" w:rsidP="00573D1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573D1B" w:rsidRDefault="00573D1B" w:rsidP="00573D1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Заявки, поданные с  превышением начальной (</w:t>
      </w:r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максимальной) цены контракта (</w:t>
      </w:r>
      <w:proofErr w:type="spellStart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proofErr w:type="gramStart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. 2.1. п.2),  а также условий контракта в части срока поставки (</w:t>
      </w:r>
      <w:proofErr w:type="spellStart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.1.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), условий оплаты (</w:t>
      </w:r>
      <w:proofErr w:type="spellStart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341A9B">
        <w:rPr>
          <w:rFonts w:ascii="Times New Roman" w:eastAsia="Times New Roman" w:hAnsi="Times New Roman"/>
          <w:sz w:val="24"/>
          <w:szCs w:val="24"/>
          <w:lang w:eastAsia="ru-RU"/>
        </w:rPr>
        <w:t xml:space="preserve"> 2.4.  п. 2), условий об ответственности по обязательствам, связанных с участием в закупке (п. 5)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отстраняются и не оцениваются. </w:t>
      </w:r>
    </w:p>
    <w:p w:rsidR="00573D1B" w:rsidRDefault="00573D1B" w:rsidP="00573D1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к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ритери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-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6F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Ценовой — 100%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3D1B" w:rsidRDefault="00573D1B" w:rsidP="00573D1B">
      <w:pPr>
        <w:spacing w:line="360" w:lineRule="auto"/>
        <w:ind w:left="3540" w:firstLine="708"/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(удельный вес критерия -100%)</w:t>
      </w:r>
    </w:p>
    <w:p w:rsidR="00962DBC" w:rsidRDefault="00962DBC"/>
    <w:sectPr w:rsidR="00962DBC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3D1B"/>
    <w:rsid w:val="00573D1B"/>
    <w:rsid w:val="005B549A"/>
    <w:rsid w:val="0096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1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2022-01-24T13:42:00Z</dcterms:created>
  <dcterms:modified xsi:type="dcterms:W3CDTF">2022-01-24T13:42:00Z</dcterms:modified>
</cp:coreProperties>
</file>