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5D" w:rsidRDefault="007E555D" w:rsidP="007E555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A43E4" w:rsidRPr="0040021C" w:rsidRDefault="009A43E4" w:rsidP="009A43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ПОСТАВКИ ТОВАРА № ________ </w:t>
      </w:r>
    </w:p>
    <w:p w:rsidR="009A43E4" w:rsidRPr="0040021C" w:rsidRDefault="009A43E4" w:rsidP="009A43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E4" w:rsidRPr="0040021C" w:rsidRDefault="009A43E4" w:rsidP="009A43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00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2022 г.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</w:t>
      </w: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4" w:rsidRPr="00170523" w:rsidRDefault="009A43E4" w:rsidP="009A43E4">
      <w:pPr>
        <w:numPr>
          <w:ilvl w:val="0"/>
          <w:numId w:val="3"/>
        </w:numPr>
        <w:tabs>
          <w:tab w:val="left" w:pos="1276"/>
        </w:tabs>
        <w:spacing w:after="0" w:line="240" w:lineRule="atLeast"/>
        <w:ind w:left="0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Трубу ПЭ двухслойную ПЭ 100/ПЭ100 </w:t>
      </w:r>
      <w:r w:rsidRPr="001705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5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1705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SDR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05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1705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– Товар, в ассортименте, количестве, по ценам,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A43E4" w:rsidRPr="0040021C" w:rsidRDefault="009A43E4" w:rsidP="009A43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 (Приложение № 1).</w:t>
      </w:r>
    </w:p>
    <w:p w:rsidR="009A43E4" w:rsidRPr="0040021C" w:rsidRDefault="009A43E4" w:rsidP="009A43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принадлежит ему на праве собственности, не заложен, не арестован, не является предметом исков третьих лиц.</w:t>
      </w:r>
    </w:p>
    <w:p w:rsidR="009A43E4" w:rsidRPr="00C82BDA" w:rsidRDefault="009A43E4" w:rsidP="009A4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товар, а также риск случайной утраты или случайного повреждения Товара переходят с Поставщика на Заказчика с момента подписания Заказчиком товаросопроводительной документации (ТТН)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3E4" w:rsidRPr="0040021C" w:rsidRDefault="009A43E4" w:rsidP="009A4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9A43E4" w:rsidRPr="0040021C" w:rsidRDefault="009A43E4" w:rsidP="009A43E4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40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2022 год, утвержденному «_____» ____________ 2022 года.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Контракта, указанная в пункте 2.1. Контракта, может изменяться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proofErr w:type="gramEnd"/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в сфере закупок.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Оплата каждой партии Товара осуществляется по факту ее поставки путем перечисления денежных средств на расчетный счет Поставщика, указанный в настоящем Контракте, в течение 10 (десяти) банковских дней с момента </w:t>
      </w:r>
      <w:r w:rsidRPr="0040021C">
        <w:rPr>
          <w:rFonts w:ascii="Times New Roman" w:eastAsia="Calibri" w:hAnsi="Times New Roman" w:cs="Times New Roman"/>
          <w:sz w:val="24"/>
          <w:szCs w:val="24"/>
        </w:rPr>
        <w:t>подписания товаросопроводительной документации (ТТН) и выставления счета на оплату.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осуществления оплаты считается дата поступления денежных средств на расчетный счет Поставщика.</w:t>
      </w:r>
    </w:p>
    <w:p w:rsidR="009A43E4" w:rsidRPr="0040021C" w:rsidRDefault="009A43E4" w:rsidP="009A43E4">
      <w:pPr>
        <w:tabs>
          <w:tab w:val="num" w:pos="1080"/>
          <w:tab w:val="num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счет.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9A43E4" w:rsidRPr="0040021C" w:rsidRDefault="009A43E4" w:rsidP="009A43E4">
      <w:pPr>
        <w:tabs>
          <w:tab w:val="num" w:pos="1080"/>
          <w:tab w:val="num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 </w:t>
      </w:r>
    </w:p>
    <w:p w:rsidR="009A43E4" w:rsidRPr="0040021C" w:rsidRDefault="009A43E4" w:rsidP="009A43E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УСЛОВИЯ ПОСТАВКИ ТОВАРА. СДАЧА-ПРИЕМКА ТОВАРА</w:t>
      </w:r>
    </w:p>
    <w:p w:rsidR="009A43E4" w:rsidRPr="00170523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установленного срока отдельными партиями на основании заявок Покупателя в согласованные сроки, но не позднее 5 (пяти) календарных дней с момента получения заявки Покупателя.</w:t>
      </w:r>
    </w:p>
    <w:p w:rsidR="009A43E4" w:rsidRPr="0040021C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установленного срока определяются с учетом производственных потребностей Покупателя и наличия у Поставщика соответствующего Товара, согласовываются Сторонами. </w:t>
      </w:r>
      <w:r w:rsidRPr="0017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оставляет за собой право выбирать Товар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9A43E4" w:rsidRPr="0040021C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каждой партии Товара является дата подписания уполномоченным представителем товарно-транспортной накладной.</w:t>
      </w:r>
    </w:p>
    <w:p w:rsidR="009A43E4" w:rsidRPr="0040021C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Товар передается представителю Покупателя при наличии у него надлежащим образом оформленной доверенности на получение Товара.</w:t>
      </w:r>
    </w:p>
    <w:p w:rsidR="009A43E4" w:rsidRPr="0040021C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9A43E4" w:rsidRPr="0040021C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Поставщик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(десяти)</w:t>
      </w:r>
      <w:r w:rsidRPr="0040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A43E4" w:rsidRPr="0040021C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десяти) </w:t>
      </w:r>
      <w:r w:rsidRPr="0040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</w:t>
      </w:r>
      <w:proofErr w:type="gramEnd"/>
      <w:r w:rsidRPr="0040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</w:t>
      </w:r>
      <w:r w:rsidRPr="00400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устранить их своими силами и за свой счет.  </w:t>
      </w:r>
    </w:p>
    <w:p w:rsidR="009A43E4" w:rsidRPr="0040021C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Покупатель вправе отказаться от приемки некачественного Товара в случае обнаружения недостатков, которые исключают возможность использования его и не могут быть устранены Сторонами.</w:t>
      </w:r>
    </w:p>
    <w:p w:rsidR="009A43E4" w:rsidRPr="0040021C" w:rsidRDefault="009A43E4" w:rsidP="009A43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Доставка Товара осуществляется </w:t>
      </w:r>
      <w:r w:rsidRPr="0040021C">
        <w:rPr>
          <w:rFonts w:ascii="Times New Roman" w:eastAsia="Calibri" w:hAnsi="Times New Roman" w:cs="Times New Roman"/>
          <w:sz w:val="24"/>
          <w:szCs w:val="24"/>
        </w:rPr>
        <w:t>на территорию склада Покупателя, расположенного по адресу: г. Тирасполь, ул. 95 Молдавской Дивизии, 1</w:t>
      </w:r>
      <w:proofErr w:type="gramStart"/>
      <w:r w:rsidRPr="0040021C">
        <w:rPr>
          <w:rFonts w:ascii="Times New Roman" w:eastAsia="Calibri" w:hAnsi="Times New Roman" w:cs="Times New Roman"/>
          <w:sz w:val="24"/>
          <w:szCs w:val="24"/>
        </w:rPr>
        <w:t xml:space="preserve">В,  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</w:t>
      </w:r>
      <w:proofErr w:type="gramEnd"/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счет средств Поставщика</w:t>
      </w:r>
      <w:r w:rsidRPr="0040021C">
        <w:rPr>
          <w:rFonts w:ascii="Times New Roman" w:eastAsia="Calibri" w:hAnsi="Times New Roman" w:cs="Times New Roman"/>
          <w:sz w:val="24"/>
          <w:szCs w:val="24"/>
        </w:rPr>
        <w:t xml:space="preserve">. Возможна досрочная поставка каждой партии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40021C">
        <w:rPr>
          <w:rFonts w:ascii="Times New Roman" w:eastAsia="Calibri" w:hAnsi="Times New Roman" w:cs="Times New Roman"/>
          <w:sz w:val="24"/>
          <w:szCs w:val="24"/>
        </w:rPr>
        <w:t>овара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3E4" w:rsidRPr="0040021C" w:rsidRDefault="009A43E4" w:rsidP="009A43E4">
      <w:pPr>
        <w:numPr>
          <w:ilvl w:val="0"/>
          <w:numId w:val="2"/>
        </w:numPr>
        <w:tabs>
          <w:tab w:val="left" w:pos="99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00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4.1.5. Выполнять иные обязанности, предусмотренные законодательством Приднестровской Молдавской Республики.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9A43E4" w:rsidRPr="0040021C" w:rsidRDefault="009A43E4" w:rsidP="009A43E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0021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A43E4" w:rsidRPr="0040021C" w:rsidRDefault="009A43E4" w:rsidP="009A43E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9A43E4" w:rsidRPr="0040021C" w:rsidRDefault="009A43E4" w:rsidP="009A43E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9A43E4" w:rsidRPr="0040021C" w:rsidRDefault="009A43E4" w:rsidP="009A43E4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4.3.4.Выполнять иные обязанности, предусмотренные законодательством Приднестровской Молдавской Республики.</w:t>
      </w:r>
    </w:p>
    <w:p w:rsidR="009A43E4" w:rsidRPr="0040021C" w:rsidRDefault="009A43E4" w:rsidP="009A43E4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40021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40021C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40021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9A43E4" w:rsidRPr="0040021C" w:rsidRDefault="009A43E4" w:rsidP="009A43E4">
      <w:pPr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4002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9A43E4" w:rsidRPr="0040021C" w:rsidRDefault="009A43E4" w:rsidP="009A43E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 Принять решение об одностороннем отказе от исполнения настоящего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9A43E4" w:rsidRPr="00BA52ED" w:rsidRDefault="009A43E4" w:rsidP="009A43E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</w:t>
      </w:r>
      <w:bookmarkStart w:id="0" w:name="_Hlk111639145"/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стоимости неисполненного, ненадлежащим образом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исполненного</w:t>
      </w: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обязательства</w:t>
      </w:r>
      <w:proofErr w:type="gram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bookmarkEnd w:id="0"/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 каждый день просрочки до полного исполнения своей обязанности. 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</w:t>
      </w:r>
      <w:proofErr w:type="gramStart"/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Pr="004E6B9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стоимости</w:t>
      </w:r>
      <w:proofErr w:type="gramEnd"/>
      <w:r w:rsidRPr="004E6B9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неисполненного, ненадлежащим образом исполненного  обязательства </w:t>
      </w: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 каждый день просрочки до полного исполнения своей обязанности. 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A43E4" w:rsidRPr="00170523" w:rsidRDefault="009A43E4" w:rsidP="009A43E4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9A43E4" w:rsidRPr="00170523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обеспечивающей его сохранность при надлежащем хранении и транспортировке.</w:t>
      </w:r>
    </w:p>
    <w:p w:rsidR="009A43E4" w:rsidRPr="00170523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и комплектность </w:t>
      </w:r>
      <w:proofErr w:type="gramStart"/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должны</w:t>
      </w:r>
      <w:proofErr w:type="gramEnd"/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назначению Товара, требованиям, предъявленным к техническим характеристикам Товара в стране производителя, а так же действующим  в Приднестровской Молдавской Республик стандартам и техническим условиям.</w:t>
      </w:r>
    </w:p>
    <w:p w:rsidR="009A43E4" w:rsidRPr="00170523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Поставщик гарантирует, что Товар новый, ранее не использованный,</w:t>
      </w:r>
      <w:r w:rsidRPr="00170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дефектов материалов, соответствует </w:t>
      </w:r>
      <w:proofErr w:type="gramStart"/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 достижениям</w:t>
      </w:r>
      <w:proofErr w:type="gramEnd"/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техники, техническим требованиям и удовлетворяет высоким нормам, существующим  для данного вида Товара.</w:t>
      </w:r>
    </w:p>
    <w:p w:rsidR="009A43E4" w:rsidRPr="00170523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возвратной накладной, но не позднее 10 (десяти) календарных дней с момента получения уведомления с одновременным возвратом денежных средств в размере стоимости товара, признанного не соответствующим установленным </w:t>
      </w:r>
      <w:proofErr w:type="gramStart"/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требованиям..</w:t>
      </w:r>
      <w:proofErr w:type="gramEnd"/>
    </w:p>
    <w:p w:rsidR="009A43E4" w:rsidRPr="00170523" w:rsidRDefault="009A43E4" w:rsidP="009A43E4">
      <w:pPr>
        <w:tabs>
          <w:tab w:val="num" w:pos="709"/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Гарантийный срок на Товар, его партию составляет 25 лет с даты поставки, если другие сроки не указаны в гарантийных обязательствах Поставщика, передаваемых Покупателю вместе с Товаром (в виде гарантийных талонов, </w:t>
      </w:r>
      <w:r w:rsidRPr="0017052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паспортах, сертификатах, иных документов качества</w:t>
      </w:r>
    </w:p>
    <w:p w:rsidR="009A43E4" w:rsidRPr="00BA52ED" w:rsidRDefault="009A43E4" w:rsidP="009A43E4">
      <w:pPr>
        <w:tabs>
          <w:tab w:val="num" w:pos="709"/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законодательством Приднестровской Молдавской Республики.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</w:t>
      </w: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Контракту, в том числе гарантийных, и </w:t>
      </w:r>
      <w:r w:rsidRPr="0017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A43E4" w:rsidRPr="00170523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9A43E4" w:rsidRPr="00170523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A43E4" w:rsidRPr="00170523" w:rsidRDefault="009A43E4" w:rsidP="009A43E4">
      <w:pPr>
        <w:tabs>
          <w:tab w:val="left" w:pos="1276"/>
          <w:tab w:val="left" w:pos="15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7052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9A43E4" w:rsidRPr="00170523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2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A43E4" w:rsidRPr="0040021C" w:rsidRDefault="009A43E4" w:rsidP="009A43E4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4" w:rsidRPr="0040021C" w:rsidRDefault="009A43E4" w:rsidP="009A43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 И ПОДПИСИ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18"/>
        <w:gridCol w:w="4883"/>
      </w:tblGrid>
      <w:tr w:rsidR="009A43E4" w:rsidRPr="0040021C" w:rsidTr="007F3EB7">
        <w:trPr>
          <w:trHeight w:val="870"/>
        </w:trPr>
        <w:tc>
          <w:tcPr>
            <w:tcW w:w="4418" w:type="dxa"/>
          </w:tcPr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3" w:type="dxa"/>
          </w:tcPr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3E4" w:rsidRDefault="009A43E4" w:rsidP="009A43E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4" w:rsidRDefault="009A43E4" w:rsidP="009A43E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4" w:rsidRDefault="009A43E4" w:rsidP="009A43E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4" w:rsidRPr="0040021C" w:rsidRDefault="009A43E4" w:rsidP="009A43E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A43E4" w:rsidRPr="0040021C" w:rsidRDefault="009A43E4" w:rsidP="009A43E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9A43E4" w:rsidRPr="0040021C" w:rsidRDefault="009A43E4" w:rsidP="009A43E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9A43E4" w:rsidRPr="0040021C" w:rsidRDefault="009A43E4" w:rsidP="009A43E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4" w:rsidRPr="0040021C" w:rsidRDefault="009A43E4" w:rsidP="009A43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4" w:rsidRPr="0040021C" w:rsidRDefault="009A43E4" w:rsidP="009A43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A43E4" w:rsidRPr="0040021C" w:rsidRDefault="009A43E4" w:rsidP="009A43E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A43E4" w:rsidRPr="0040021C" w:rsidRDefault="009A43E4" w:rsidP="009A43E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9A43E4" w:rsidRPr="0040021C" w:rsidTr="007F3EB7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43E4" w:rsidRPr="0040021C" w:rsidTr="007F3EB7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A43E4" w:rsidRPr="0092648B" w:rsidRDefault="009A43E4" w:rsidP="009A43E4">
            <w:pPr>
              <w:pStyle w:val="a3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6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 </w:t>
            </w:r>
            <w:r w:rsidRPr="00926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ПЭ</w:t>
            </w:r>
            <w:proofErr w:type="gramEnd"/>
            <w:r w:rsidRPr="00926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двухслойн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926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ПЭ 100/ПЭ100 RC d 75 SDR21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3E4" w:rsidRPr="0040021C" w:rsidTr="007F3EB7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3E4" w:rsidRPr="0040021C" w:rsidRDefault="009A43E4" w:rsidP="009A43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E4" w:rsidRPr="0040021C" w:rsidRDefault="009A43E4" w:rsidP="009A43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9A43E4" w:rsidRPr="0040021C" w:rsidRDefault="009A43E4" w:rsidP="009A43E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A43E4" w:rsidRPr="0040021C" w:rsidTr="007F3EB7">
        <w:trPr>
          <w:trHeight w:val="1840"/>
        </w:trPr>
        <w:tc>
          <w:tcPr>
            <w:tcW w:w="4716" w:type="dxa"/>
          </w:tcPr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3E4" w:rsidRPr="0040021C" w:rsidRDefault="009A43E4" w:rsidP="007F3EB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A43E4" w:rsidRPr="0040021C" w:rsidRDefault="009A43E4" w:rsidP="007F3EB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3E4" w:rsidRPr="0040021C" w:rsidRDefault="009A43E4" w:rsidP="009A43E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</w:tr>
    </w:tbl>
    <w:p w:rsidR="009A43E4" w:rsidRPr="0040021C" w:rsidRDefault="009A43E4" w:rsidP="009A43E4">
      <w:pPr>
        <w:rPr>
          <w:rFonts w:ascii="Calibri" w:eastAsia="Calibri" w:hAnsi="Calibri" w:cs="Times New Roman"/>
        </w:rPr>
      </w:pPr>
    </w:p>
    <w:p w:rsidR="009A43E4" w:rsidRDefault="009A43E4" w:rsidP="009A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3E4" w:rsidRDefault="009A43E4" w:rsidP="009A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3E4" w:rsidRDefault="009A43E4" w:rsidP="009A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3E4" w:rsidRDefault="009A43E4" w:rsidP="009A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3E4" w:rsidRPr="00B0604A" w:rsidRDefault="009A43E4" w:rsidP="009A43E4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249B7" w:rsidRDefault="00D249B7" w:rsidP="009A43E4">
      <w:pPr>
        <w:spacing w:after="0" w:line="240" w:lineRule="atLeast"/>
        <w:contextualSpacing/>
      </w:pPr>
    </w:p>
    <w:sectPr w:rsidR="00D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">
    <w:nsid w:val="779E28E9"/>
    <w:multiLevelType w:val="hybridMultilevel"/>
    <w:tmpl w:val="786E99CA"/>
    <w:lvl w:ilvl="0" w:tplc="075E0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D"/>
    <w:rsid w:val="003D26AD"/>
    <w:rsid w:val="007E555D"/>
    <w:rsid w:val="009A43E4"/>
    <w:rsid w:val="00D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CE09-5E7C-4692-862D-5C0335A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2472</Words>
  <Characters>14094</Characters>
  <Application>Microsoft Office Word</Application>
  <DocSecurity>0</DocSecurity>
  <Lines>117</Lines>
  <Paragraphs>33</Paragraphs>
  <ScaleCrop>false</ScaleCrop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2022-04-20T08:26:00Z</dcterms:created>
  <dcterms:modified xsi:type="dcterms:W3CDTF">2022-08-19T07:42:00Z</dcterms:modified>
</cp:coreProperties>
</file>