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1FC1" w:rsidRPr="00D81FC1" w:rsidRDefault="00D81FC1" w:rsidP="00D81FC1">
      <w:pPr>
        <w:widowControl w:val="0"/>
        <w:autoSpaceDE w:val="0"/>
        <w:autoSpaceDN w:val="0"/>
        <w:spacing w:before="72" w:after="0" w:line="240" w:lineRule="auto"/>
        <w:ind w:left="380" w:right="370"/>
        <w:jc w:val="center"/>
        <w:rPr>
          <w:rFonts w:ascii="Times New Roman" w:eastAsia="Times New Roman" w:hAnsi="Times New Roman" w:cs="Times New Roman"/>
          <w:sz w:val="24"/>
          <w:szCs w:val="24"/>
          <w:lang w:eastAsia="en-US"/>
        </w:rPr>
      </w:pPr>
      <w:r w:rsidRPr="00D81FC1">
        <w:rPr>
          <w:rFonts w:ascii="Times New Roman" w:eastAsia="Times New Roman" w:hAnsi="Times New Roman" w:cs="Times New Roman"/>
          <w:sz w:val="24"/>
          <w:szCs w:val="24"/>
          <w:lang w:eastAsia="en-US"/>
        </w:rPr>
        <w:t>ЗАКУПОЧНАЯ</w:t>
      </w:r>
      <w:r w:rsidRPr="00D81FC1">
        <w:rPr>
          <w:rFonts w:ascii="Times New Roman" w:eastAsia="Times New Roman" w:hAnsi="Times New Roman" w:cs="Times New Roman"/>
          <w:spacing w:val="-6"/>
          <w:sz w:val="24"/>
          <w:szCs w:val="24"/>
          <w:lang w:eastAsia="en-US"/>
        </w:rPr>
        <w:t xml:space="preserve"> </w:t>
      </w:r>
      <w:r w:rsidRPr="00D81FC1">
        <w:rPr>
          <w:rFonts w:ascii="Times New Roman" w:eastAsia="Times New Roman" w:hAnsi="Times New Roman" w:cs="Times New Roman"/>
          <w:sz w:val="24"/>
          <w:szCs w:val="24"/>
          <w:lang w:eastAsia="en-US"/>
        </w:rPr>
        <w:t>ДОКУМЕНТАЦИЯ</w:t>
      </w:r>
    </w:p>
    <w:p w:rsidR="00D81FC1" w:rsidRPr="00D81FC1" w:rsidRDefault="00D81FC1" w:rsidP="00D81FC1">
      <w:pPr>
        <w:spacing w:after="160" w:line="259" w:lineRule="auto"/>
        <w:jc w:val="center"/>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запроса</w:t>
      </w:r>
      <w:r w:rsidRPr="00D81FC1">
        <w:rPr>
          <w:rFonts w:ascii="Times New Roman" w:eastAsia="Times New Roman" w:hAnsi="Times New Roman" w:cs="Times New Roman"/>
          <w:spacing w:val="-3"/>
          <w:lang w:eastAsia="en-US"/>
        </w:rPr>
        <w:t xml:space="preserve"> </w:t>
      </w:r>
      <w:proofErr w:type="gramStart"/>
      <w:r w:rsidRPr="00D81FC1">
        <w:rPr>
          <w:rFonts w:ascii="Times New Roman" w:eastAsia="Times New Roman" w:hAnsi="Times New Roman" w:cs="Times New Roman"/>
          <w:lang w:eastAsia="en-US"/>
        </w:rPr>
        <w:t>предложений  по</w:t>
      </w:r>
      <w:proofErr w:type="gramEnd"/>
      <w:r w:rsidRPr="00D81FC1">
        <w:rPr>
          <w:rFonts w:ascii="Times New Roman" w:eastAsia="Times New Roman" w:hAnsi="Times New Roman" w:cs="Times New Roman"/>
          <w:lang w:eastAsia="en-US"/>
        </w:rPr>
        <w:t xml:space="preserve"> определению Поставщика </w:t>
      </w:r>
      <w:r>
        <w:rPr>
          <w:rFonts w:ascii="Times New Roman" w:eastAsia="Times New Roman" w:hAnsi="Times New Roman" w:cs="Times New Roman"/>
          <w:lang w:eastAsia="en-US"/>
        </w:rPr>
        <w:t>ГСМ</w:t>
      </w:r>
    </w:p>
    <w:p w:rsidR="00D81FC1" w:rsidRPr="00D81FC1" w:rsidRDefault="00D81FC1" w:rsidP="00D81FC1">
      <w:pPr>
        <w:numPr>
          <w:ilvl w:val="0"/>
          <w:numId w:val="2"/>
        </w:numPr>
        <w:spacing w:after="160" w:line="259" w:lineRule="auto"/>
        <w:contextualSpacing/>
        <w:rPr>
          <w:rFonts w:ascii="Times New Roman" w:eastAsia="Times New Roman" w:hAnsi="Times New Roman" w:cs="Times New Roman"/>
          <w:b/>
          <w:lang w:eastAsia="en-US"/>
        </w:rPr>
      </w:pPr>
      <w:proofErr w:type="gramStart"/>
      <w:r w:rsidRPr="00D81FC1">
        <w:rPr>
          <w:rFonts w:ascii="Times New Roman" w:eastAsia="Times New Roman" w:hAnsi="Times New Roman" w:cs="Times New Roman"/>
          <w:b/>
          <w:lang w:eastAsia="en-US"/>
        </w:rPr>
        <w:t>Наименование  и</w:t>
      </w:r>
      <w:proofErr w:type="gramEnd"/>
      <w:r w:rsidRPr="00D81FC1">
        <w:rPr>
          <w:rFonts w:ascii="Times New Roman" w:eastAsia="Times New Roman" w:hAnsi="Times New Roman" w:cs="Times New Roman"/>
          <w:b/>
          <w:lang w:eastAsia="en-US"/>
        </w:rPr>
        <w:t xml:space="preserve"> описание объекта закупки. Предъявляемые к нему качественные характеристики, условия контракта. Начальная (максимальная) цена контракта.</w:t>
      </w:r>
    </w:p>
    <w:p w:rsidR="00D81FC1" w:rsidRPr="00D81FC1" w:rsidRDefault="00D81FC1" w:rsidP="00D81FC1">
      <w:pPr>
        <w:spacing w:after="160" w:line="259" w:lineRule="auto"/>
        <w:ind w:left="360"/>
        <w:rPr>
          <w:rFonts w:ascii="Times New Roman" w:eastAsia="Times New Roman" w:hAnsi="Times New Roman" w:cs="Times New Roman"/>
          <w:lang w:eastAsia="en-US"/>
        </w:rPr>
      </w:pPr>
      <w:r w:rsidRPr="00D81FC1">
        <w:rPr>
          <w:rFonts w:ascii="Times New Roman" w:eastAsia="Times New Roman" w:hAnsi="Times New Roman" w:cs="Times New Roman"/>
          <w:b/>
          <w:lang w:eastAsia="en-US"/>
        </w:rPr>
        <w:t>Наименование объекта закупки</w:t>
      </w:r>
      <w:r>
        <w:rPr>
          <w:rFonts w:ascii="Times New Roman" w:eastAsia="Times New Roman" w:hAnsi="Times New Roman" w:cs="Times New Roman"/>
          <w:lang w:eastAsia="en-US"/>
        </w:rPr>
        <w:t xml:space="preserve"> Дизельное топливо, Дизельное топливо Евро, </w:t>
      </w:r>
      <w:r w:rsidRPr="00D81FC1">
        <w:rPr>
          <w:rFonts w:ascii="Times New Roman" w:eastAsia="Times New Roman" w:hAnsi="Times New Roman" w:cs="Times New Roman"/>
          <w:lang w:eastAsia="en-US"/>
        </w:rPr>
        <w:t>Бензин Аи-95</w:t>
      </w:r>
    </w:p>
    <w:p w:rsidR="00D81FC1" w:rsidRPr="00D81FC1" w:rsidRDefault="00D81FC1" w:rsidP="00D81FC1">
      <w:pPr>
        <w:spacing w:after="0" w:line="259" w:lineRule="auto"/>
        <w:ind w:left="360"/>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 xml:space="preserve">Обоснование </w:t>
      </w:r>
      <w:proofErr w:type="gramStart"/>
      <w:r w:rsidRPr="00D81FC1">
        <w:rPr>
          <w:rFonts w:ascii="Times New Roman" w:eastAsia="Times New Roman" w:hAnsi="Times New Roman" w:cs="Times New Roman"/>
          <w:b/>
          <w:lang w:eastAsia="en-US"/>
        </w:rPr>
        <w:t>начальной  (</w:t>
      </w:r>
      <w:proofErr w:type="gramEnd"/>
      <w:r w:rsidRPr="00D81FC1">
        <w:rPr>
          <w:rFonts w:ascii="Times New Roman" w:eastAsia="Times New Roman" w:hAnsi="Times New Roman" w:cs="Times New Roman"/>
          <w:b/>
          <w:lang w:eastAsia="en-US"/>
        </w:rPr>
        <w:t>максимальной) цены контракта:</w:t>
      </w:r>
    </w:p>
    <w:p w:rsidR="00D81FC1" w:rsidRPr="00D81FC1" w:rsidRDefault="00D81FC1" w:rsidP="00D81FC1">
      <w:pPr>
        <w:spacing w:after="0" w:line="259" w:lineRule="auto"/>
        <w:ind w:left="360"/>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Выполнено методом сопоставимых рыночных цен (анализ рынка);</w:t>
      </w:r>
    </w:p>
    <w:p w:rsidR="00D81FC1" w:rsidRPr="00D81FC1" w:rsidRDefault="00D81FC1" w:rsidP="00D81FC1">
      <w:pPr>
        <w:spacing w:after="0" w:line="259" w:lineRule="auto"/>
        <w:ind w:left="360"/>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Проведен сбор ценовой информации, используемой для расчета </w:t>
      </w:r>
      <w:proofErr w:type="gramStart"/>
      <w:r w:rsidRPr="00D81FC1">
        <w:rPr>
          <w:rFonts w:ascii="Times New Roman" w:eastAsia="Times New Roman" w:hAnsi="Times New Roman" w:cs="Times New Roman"/>
          <w:lang w:eastAsia="en-US"/>
        </w:rPr>
        <w:t>начальной  (</w:t>
      </w:r>
      <w:proofErr w:type="gramEnd"/>
      <w:r w:rsidRPr="00D81FC1">
        <w:rPr>
          <w:rFonts w:ascii="Times New Roman" w:eastAsia="Times New Roman" w:hAnsi="Times New Roman" w:cs="Times New Roman"/>
          <w:lang w:eastAsia="en-US"/>
        </w:rPr>
        <w:t>максимальной) цены контракта на поставку металлопластиковых конструкций.</w:t>
      </w:r>
    </w:p>
    <w:p w:rsidR="00D81FC1" w:rsidRPr="00D81FC1" w:rsidRDefault="004277E7" w:rsidP="00D81FC1">
      <w:pPr>
        <w:spacing w:after="0" w:line="259" w:lineRule="auto"/>
        <w:ind w:left="360"/>
        <w:rPr>
          <w:rFonts w:ascii="Times New Roman" w:eastAsia="Times New Roman" w:hAnsi="Times New Roman" w:cs="Times New Roman"/>
          <w:lang w:eastAsia="en-US"/>
        </w:rPr>
      </w:pPr>
      <w:r>
        <w:rPr>
          <w:rFonts w:ascii="Times New Roman" w:eastAsia="Times New Roman" w:hAnsi="Times New Roman" w:cs="Times New Roman"/>
          <w:lang w:eastAsia="en-US"/>
        </w:rPr>
        <w:t>Поступило 2(два</w:t>
      </w:r>
      <w:r w:rsidR="00D81FC1" w:rsidRPr="00D81FC1">
        <w:rPr>
          <w:rFonts w:ascii="Times New Roman" w:eastAsia="Times New Roman" w:hAnsi="Times New Roman" w:cs="Times New Roman"/>
          <w:lang w:eastAsia="en-US"/>
        </w:rPr>
        <w:t>) коммерческих предложения:</w:t>
      </w:r>
    </w:p>
    <w:p w:rsidR="00D81FC1" w:rsidRPr="00D81FC1" w:rsidRDefault="00D81FC1" w:rsidP="00D81FC1">
      <w:pPr>
        <w:spacing w:after="0" w:line="240" w:lineRule="auto"/>
        <w:ind w:firstLine="567"/>
        <w:jc w:val="center"/>
        <w:outlineLvl w:val="0"/>
        <w:rPr>
          <w:rFonts w:ascii="Times New Roman" w:eastAsia="Times New Roman" w:hAnsi="Times New Roman" w:cs="Times New Roman"/>
          <w:b/>
          <w:sz w:val="24"/>
          <w:szCs w:val="24"/>
        </w:rPr>
      </w:pPr>
    </w:p>
    <w:tbl>
      <w:tblPr>
        <w:tblStyle w:val="1"/>
        <w:tblW w:w="0" w:type="auto"/>
        <w:tblLook w:val="04A0" w:firstRow="1" w:lastRow="0" w:firstColumn="1" w:lastColumn="0" w:noHBand="0" w:noVBand="1"/>
      </w:tblPr>
      <w:tblGrid>
        <w:gridCol w:w="492"/>
        <w:gridCol w:w="2528"/>
        <w:gridCol w:w="579"/>
        <w:gridCol w:w="1265"/>
        <w:gridCol w:w="1347"/>
        <w:gridCol w:w="1289"/>
        <w:gridCol w:w="1845"/>
      </w:tblGrid>
      <w:tr w:rsidR="004277E7" w:rsidRPr="00D81FC1" w:rsidTr="004277E7">
        <w:tc>
          <w:tcPr>
            <w:tcW w:w="492" w:type="dxa"/>
          </w:tcPr>
          <w:p w:rsidR="004277E7" w:rsidRPr="00D81FC1" w:rsidRDefault="004277E7" w:rsidP="00D81FC1">
            <w:pPr>
              <w:jc w:val="center"/>
              <w:outlineLvl w:val="0"/>
              <w:rPr>
                <w:rFonts w:ascii="Times New Roman" w:eastAsia="Times New Roman" w:hAnsi="Times New Roman" w:cs="Times New Roman"/>
                <w:sz w:val="16"/>
                <w:szCs w:val="24"/>
              </w:rPr>
            </w:pPr>
            <w:r w:rsidRPr="00D81FC1">
              <w:rPr>
                <w:rFonts w:ascii="Times New Roman" w:eastAsia="Times New Roman" w:hAnsi="Times New Roman" w:cs="Times New Roman"/>
                <w:sz w:val="16"/>
                <w:szCs w:val="24"/>
              </w:rPr>
              <w:t>№ п/п</w:t>
            </w:r>
          </w:p>
        </w:tc>
        <w:tc>
          <w:tcPr>
            <w:tcW w:w="2528" w:type="dxa"/>
          </w:tcPr>
          <w:p w:rsidR="004277E7" w:rsidRPr="00D81FC1" w:rsidRDefault="004277E7" w:rsidP="00D81FC1">
            <w:pPr>
              <w:jc w:val="center"/>
              <w:outlineLvl w:val="0"/>
              <w:rPr>
                <w:rFonts w:ascii="Times New Roman" w:eastAsia="Times New Roman" w:hAnsi="Times New Roman" w:cs="Times New Roman"/>
                <w:sz w:val="20"/>
                <w:szCs w:val="24"/>
              </w:rPr>
            </w:pPr>
            <w:r w:rsidRPr="00D81FC1">
              <w:rPr>
                <w:rFonts w:ascii="Times New Roman" w:eastAsia="Times New Roman" w:hAnsi="Times New Roman" w:cs="Times New Roman"/>
                <w:sz w:val="20"/>
                <w:szCs w:val="24"/>
              </w:rPr>
              <w:t>Наименование, качественные и технические характеристики товара</w:t>
            </w:r>
          </w:p>
        </w:tc>
        <w:tc>
          <w:tcPr>
            <w:tcW w:w="579" w:type="dxa"/>
          </w:tcPr>
          <w:p w:rsidR="004277E7" w:rsidRPr="00D81FC1" w:rsidRDefault="004277E7" w:rsidP="00D81FC1">
            <w:pPr>
              <w:outlineLvl w:val="0"/>
              <w:rPr>
                <w:rFonts w:ascii="Times New Roman" w:eastAsia="Times New Roman" w:hAnsi="Times New Roman" w:cs="Times New Roman"/>
                <w:sz w:val="20"/>
                <w:szCs w:val="24"/>
              </w:rPr>
            </w:pPr>
            <w:r w:rsidRPr="00D81FC1">
              <w:rPr>
                <w:rFonts w:ascii="Times New Roman" w:eastAsia="Times New Roman" w:hAnsi="Times New Roman" w:cs="Times New Roman"/>
                <w:sz w:val="20"/>
                <w:szCs w:val="24"/>
              </w:rPr>
              <w:t>Ед. изм.</w:t>
            </w:r>
          </w:p>
        </w:tc>
        <w:tc>
          <w:tcPr>
            <w:tcW w:w="1265" w:type="dxa"/>
          </w:tcPr>
          <w:p w:rsidR="004277E7" w:rsidRPr="00D81FC1" w:rsidRDefault="004277E7" w:rsidP="00D81FC1">
            <w:pPr>
              <w:jc w:val="center"/>
              <w:outlineLvl w:val="0"/>
              <w:rPr>
                <w:rFonts w:ascii="Times New Roman" w:eastAsia="Times New Roman" w:hAnsi="Times New Roman" w:cs="Times New Roman"/>
                <w:sz w:val="20"/>
                <w:szCs w:val="24"/>
              </w:rPr>
            </w:pPr>
            <w:r>
              <w:rPr>
                <w:rFonts w:ascii="Times New Roman" w:eastAsia="Times New Roman" w:hAnsi="Times New Roman" w:cs="Times New Roman"/>
                <w:sz w:val="20"/>
                <w:szCs w:val="24"/>
              </w:rPr>
              <w:t>Кол-</w:t>
            </w:r>
            <w:proofErr w:type="spellStart"/>
            <w:r>
              <w:rPr>
                <w:rFonts w:ascii="Times New Roman" w:eastAsia="Times New Roman" w:hAnsi="Times New Roman" w:cs="Times New Roman"/>
                <w:sz w:val="20"/>
                <w:szCs w:val="24"/>
              </w:rPr>
              <w:t>во,литр</w:t>
            </w:r>
            <w:proofErr w:type="spellEnd"/>
          </w:p>
        </w:tc>
        <w:tc>
          <w:tcPr>
            <w:tcW w:w="1347" w:type="dxa"/>
          </w:tcPr>
          <w:p w:rsidR="004277E7" w:rsidRPr="00D81FC1" w:rsidRDefault="004277E7" w:rsidP="00D81FC1">
            <w:pPr>
              <w:jc w:val="center"/>
              <w:outlineLvl w:val="0"/>
              <w:rPr>
                <w:rFonts w:ascii="Times New Roman" w:eastAsia="Times New Roman" w:hAnsi="Times New Roman" w:cs="Times New Roman"/>
                <w:sz w:val="20"/>
                <w:szCs w:val="24"/>
              </w:rPr>
            </w:pPr>
            <w:r w:rsidRPr="00D81FC1">
              <w:rPr>
                <w:rFonts w:ascii="Times New Roman" w:eastAsia="Times New Roman" w:hAnsi="Times New Roman" w:cs="Times New Roman"/>
                <w:sz w:val="20"/>
                <w:szCs w:val="24"/>
              </w:rPr>
              <w:t>коммерческое предложение</w:t>
            </w:r>
          </w:p>
          <w:p w:rsidR="004277E7" w:rsidRPr="00D81FC1" w:rsidRDefault="004277E7" w:rsidP="00D81FC1">
            <w:pPr>
              <w:jc w:val="center"/>
              <w:outlineLvl w:val="0"/>
              <w:rPr>
                <w:rFonts w:ascii="Times New Roman" w:eastAsia="Times New Roman" w:hAnsi="Times New Roman" w:cs="Times New Roman"/>
                <w:sz w:val="20"/>
                <w:szCs w:val="24"/>
              </w:rPr>
            </w:pPr>
            <w:r w:rsidRPr="00D81FC1">
              <w:rPr>
                <w:rFonts w:ascii="Times New Roman" w:eastAsia="Times New Roman" w:hAnsi="Times New Roman" w:cs="Times New Roman"/>
                <w:sz w:val="20"/>
                <w:szCs w:val="24"/>
              </w:rPr>
              <w:t>№1</w:t>
            </w:r>
          </w:p>
        </w:tc>
        <w:tc>
          <w:tcPr>
            <w:tcW w:w="1289" w:type="dxa"/>
          </w:tcPr>
          <w:p w:rsidR="004277E7" w:rsidRPr="00D81FC1" w:rsidRDefault="004277E7" w:rsidP="00D81FC1">
            <w:pPr>
              <w:jc w:val="center"/>
              <w:outlineLvl w:val="0"/>
              <w:rPr>
                <w:rFonts w:ascii="Times New Roman" w:eastAsia="Times New Roman" w:hAnsi="Times New Roman" w:cs="Times New Roman"/>
                <w:sz w:val="20"/>
                <w:szCs w:val="24"/>
              </w:rPr>
            </w:pPr>
            <w:r w:rsidRPr="00D81FC1">
              <w:rPr>
                <w:rFonts w:ascii="Times New Roman" w:eastAsia="Times New Roman" w:hAnsi="Times New Roman" w:cs="Times New Roman"/>
                <w:sz w:val="20"/>
                <w:szCs w:val="24"/>
              </w:rPr>
              <w:t>коммерческое предложение</w:t>
            </w:r>
          </w:p>
          <w:p w:rsidR="004277E7" w:rsidRPr="00D81FC1" w:rsidRDefault="004277E7" w:rsidP="00D81FC1">
            <w:pPr>
              <w:jc w:val="center"/>
              <w:outlineLvl w:val="0"/>
              <w:rPr>
                <w:rFonts w:ascii="Times New Roman" w:eastAsia="Times New Roman" w:hAnsi="Times New Roman" w:cs="Times New Roman"/>
                <w:sz w:val="20"/>
                <w:szCs w:val="24"/>
              </w:rPr>
            </w:pPr>
            <w:r w:rsidRPr="00D81FC1">
              <w:rPr>
                <w:rFonts w:ascii="Times New Roman" w:eastAsia="Times New Roman" w:hAnsi="Times New Roman" w:cs="Times New Roman"/>
                <w:sz w:val="20"/>
                <w:szCs w:val="24"/>
              </w:rPr>
              <w:t>№2</w:t>
            </w:r>
          </w:p>
        </w:tc>
        <w:tc>
          <w:tcPr>
            <w:tcW w:w="1845" w:type="dxa"/>
          </w:tcPr>
          <w:p w:rsidR="004277E7" w:rsidRPr="00D81FC1" w:rsidRDefault="004277E7" w:rsidP="00D81FC1">
            <w:pPr>
              <w:jc w:val="center"/>
              <w:outlineLvl w:val="0"/>
              <w:rPr>
                <w:rFonts w:ascii="Times New Roman" w:eastAsia="Times New Roman" w:hAnsi="Times New Roman" w:cs="Times New Roman"/>
                <w:sz w:val="24"/>
                <w:szCs w:val="24"/>
              </w:rPr>
            </w:pPr>
            <w:r w:rsidRPr="00D81FC1">
              <w:rPr>
                <w:rFonts w:ascii="Times New Roman" w:eastAsia="Times New Roman" w:hAnsi="Times New Roman" w:cs="Times New Roman"/>
                <w:sz w:val="20"/>
                <w:szCs w:val="24"/>
              </w:rPr>
              <w:t>Цена товара для определения макс. цены контракта</w:t>
            </w:r>
          </w:p>
        </w:tc>
      </w:tr>
      <w:tr w:rsidR="004277E7" w:rsidRPr="00D81FC1" w:rsidTr="004277E7">
        <w:tc>
          <w:tcPr>
            <w:tcW w:w="492" w:type="dxa"/>
          </w:tcPr>
          <w:p w:rsidR="004277E7" w:rsidRPr="00D81FC1" w:rsidRDefault="004277E7" w:rsidP="00D81FC1">
            <w:pPr>
              <w:jc w:val="center"/>
              <w:outlineLvl w:val="0"/>
              <w:rPr>
                <w:rFonts w:ascii="Times New Roman" w:eastAsia="Times New Roman" w:hAnsi="Times New Roman" w:cs="Times New Roman"/>
                <w:sz w:val="16"/>
                <w:szCs w:val="24"/>
              </w:rPr>
            </w:pPr>
            <w:r w:rsidRPr="00D81FC1">
              <w:rPr>
                <w:rFonts w:ascii="Times New Roman" w:eastAsia="Times New Roman" w:hAnsi="Times New Roman" w:cs="Times New Roman"/>
                <w:sz w:val="16"/>
                <w:szCs w:val="24"/>
              </w:rPr>
              <w:t>1</w:t>
            </w:r>
          </w:p>
        </w:tc>
        <w:tc>
          <w:tcPr>
            <w:tcW w:w="2528" w:type="dxa"/>
            <w:tcBorders>
              <w:left w:val="single" w:sz="4" w:space="0" w:color="auto"/>
            </w:tcBorders>
          </w:tcPr>
          <w:p w:rsidR="004277E7" w:rsidRPr="00015835" w:rsidRDefault="004277E7" w:rsidP="00D81FC1">
            <w:pPr>
              <w:rPr>
                <w:rFonts w:ascii="Times New Roman" w:hAnsi="Times New Roman"/>
                <w:sz w:val="24"/>
                <w:szCs w:val="24"/>
              </w:rPr>
            </w:pPr>
            <w:r>
              <w:rPr>
                <w:rFonts w:ascii="Times New Roman" w:hAnsi="Times New Roman"/>
                <w:sz w:val="24"/>
                <w:szCs w:val="24"/>
              </w:rPr>
              <w:t>Дизельное топливо</w:t>
            </w:r>
          </w:p>
        </w:tc>
        <w:tc>
          <w:tcPr>
            <w:tcW w:w="579" w:type="dxa"/>
          </w:tcPr>
          <w:p w:rsidR="004277E7" w:rsidRPr="00D81FC1" w:rsidRDefault="004277E7"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л</w:t>
            </w:r>
          </w:p>
          <w:p w:rsidR="004277E7" w:rsidRPr="00D81FC1" w:rsidRDefault="004277E7" w:rsidP="00D81FC1">
            <w:pPr>
              <w:jc w:val="center"/>
              <w:outlineLvl w:val="0"/>
              <w:rPr>
                <w:rFonts w:ascii="Times New Roman" w:eastAsia="Times New Roman" w:hAnsi="Times New Roman" w:cs="Times New Roman"/>
                <w:sz w:val="18"/>
                <w:szCs w:val="24"/>
              </w:rPr>
            </w:pPr>
          </w:p>
        </w:tc>
        <w:tc>
          <w:tcPr>
            <w:tcW w:w="1265" w:type="dxa"/>
          </w:tcPr>
          <w:p w:rsidR="004277E7" w:rsidRPr="00D81FC1" w:rsidRDefault="004277E7"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2000</w:t>
            </w:r>
          </w:p>
        </w:tc>
        <w:tc>
          <w:tcPr>
            <w:tcW w:w="1347" w:type="dxa"/>
            <w:vAlign w:val="center"/>
          </w:tcPr>
          <w:p w:rsidR="004277E7" w:rsidRPr="00D81FC1" w:rsidRDefault="004277E7" w:rsidP="00D81FC1">
            <w:pPr>
              <w:jc w:val="center"/>
              <w:outlineLvl w:val="0"/>
              <w:rPr>
                <w:rFonts w:ascii="Times New Roman" w:eastAsia="Times New Roman" w:hAnsi="Times New Roman" w:cs="Times New Roman"/>
                <w:sz w:val="18"/>
                <w:szCs w:val="24"/>
              </w:rPr>
            </w:pPr>
          </w:p>
          <w:p w:rsidR="004277E7" w:rsidRPr="00D81FC1" w:rsidRDefault="004277E7"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21,90</w:t>
            </w:r>
          </w:p>
        </w:tc>
        <w:tc>
          <w:tcPr>
            <w:tcW w:w="1289" w:type="dxa"/>
            <w:vAlign w:val="center"/>
          </w:tcPr>
          <w:p w:rsidR="004277E7" w:rsidRPr="00D81FC1" w:rsidRDefault="004277E7" w:rsidP="00D81FC1">
            <w:pP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21,95</w:t>
            </w:r>
          </w:p>
          <w:p w:rsidR="004277E7" w:rsidRPr="00D81FC1" w:rsidRDefault="004277E7" w:rsidP="00D81FC1">
            <w:pPr>
              <w:jc w:val="center"/>
              <w:outlineLvl w:val="0"/>
              <w:rPr>
                <w:rFonts w:ascii="Times New Roman" w:eastAsia="Times New Roman" w:hAnsi="Times New Roman" w:cs="Times New Roman"/>
                <w:sz w:val="18"/>
                <w:szCs w:val="24"/>
              </w:rPr>
            </w:pPr>
          </w:p>
        </w:tc>
        <w:tc>
          <w:tcPr>
            <w:tcW w:w="1845" w:type="dxa"/>
            <w:vAlign w:val="center"/>
          </w:tcPr>
          <w:p w:rsidR="004277E7" w:rsidRPr="00D81FC1" w:rsidRDefault="004277E7" w:rsidP="00D81FC1">
            <w:pPr>
              <w:jc w:val="center"/>
              <w:outlineLvl w:val="0"/>
              <w:rPr>
                <w:rFonts w:ascii="Times New Roman" w:eastAsia="Times New Roman" w:hAnsi="Times New Roman" w:cs="Times New Roman"/>
                <w:sz w:val="18"/>
                <w:szCs w:val="24"/>
              </w:rPr>
            </w:pPr>
          </w:p>
          <w:p w:rsidR="004277E7" w:rsidRPr="00D81FC1" w:rsidRDefault="004277E7"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43860,00</w:t>
            </w:r>
            <w:r w:rsidRPr="00D81FC1">
              <w:rPr>
                <w:rFonts w:ascii="Times New Roman" w:eastAsia="Times New Roman" w:hAnsi="Times New Roman" w:cs="Times New Roman"/>
                <w:sz w:val="18"/>
                <w:szCs w:val="24"/>
              </w:rPr>
              <w:t>руб.</w:t>
            </w:r>
          </w:p>
        </w:tc>
      </w:tr>
      <w:tr w:rsidR="004277E7" w:rsidRPr="00D81FC1" w:rsidTr="004277E7">
        <w:tc>
          <w:tcPr>
            <w:tcW w:w="492" w:type="dxa"/>
          </w:tcPr>
          <w:p w:rsidR="004277E7" w:rsidRPr="00D81FC1" w:rsidRDefault="004277E7" w:rsidP="00D81FC1">
            <w:pPr>
              <w:jc w:val="center"/>
              <w:outlineLvl w:val="0"/>
              <w:rPr>
                <w:rFonts w:ascii="Times New Roman" w:eastAsia="Times New Roman" w:hAnsi="Times New Roman" w:cs="Times New Roman"/>
                <w:sz w:val="16"/>
                <w:szCs w:val="24"/>
              </w:rPr>
            </w:pPr>
            <w:r w:rsidRPr="00D81FC1">
              <w:rPr>
                <w:rFonts w:ascii="Times New Roman" w:eastAsia="Times New Roman" w:hAnsi="Times New Roman" w:cs="Times New Roman"/>
                <w:sz w:val="16"/>
                <w:szCs w:val="24"/>
              </w:rPr>
              <w:t>2</w:t>
            </w:r>
          </w:p>
        </w:tc>
        <w:tc>
          <w:tcPr>
            <w:tcW w:w="2528" w:type="dxa"/>
            <w:tcBorders>
              <w:left w:val="single" w:sz="4" w:space="0" w:color="auto"/>
            </w:tcBorders>
          </w:tcPr>
          <w:p w:rsidR="004277E7" w:rsidRDefault="004277E7" w:rsidP="00D81FC1">
            <w:pPr>
              <w:rPr>
                <w:rFonts w:ascii="Times New Roman" w:hAnsi="Times New Roman"/>
                <w:sz w:val="24"/>
                <w:szCs w:val="24"/>
              </w:rPr>
            </w:pPr>
            <w:r w:rsidRPr="00C5319F">
              <w:rPr>
                <w:rFonts w:ascii="Times New Roman" w:hAnsi="Times New Roman"/>
                <w:sz w:val="24"/>
                <w:szCs w:val="24"/>
              </w:rPr>
              <w:t>Дизельное топливо</w:t>
            </w:r>
            <w:r>
              <w:rPr>
                <w:rFonts w:ascii="Times New Roman" w:hAnsi="Times New Roman"/>
                <w:sz w:val="24"/>
                <w:szCs w:val="24"/>
              </w:rPr>
              <w:t xml:space="preserve"> Евро</w:t>
            </w:r>
          </w:p>
        </w:tc>
        <w:tc>
          <w:tcPr>
            <w:tcW w:w="579" w:type="dxa"/>
          </w:tcPr>
          <w:p w:rsidR="004277E7" w:rsidRPr="00D81FC1" w:rsidRDefault="004277E7"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л</w:t>
            </w:r>
          </w:p>
        </w:tc>
        <w:tc>
          <w:tcPr>
            <w:tcW w:w="1265" w:type="dxa"/>
          </w:tcPr>
          <w:p w:rsidR="004277E7" w:rsidRDefault="004277E7"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2000</w:t>
            </w:r>
          </w:p>
        </w:tc>
        <w:tc>
          <w:tcPr>
            <w:tcW w:w="1347" w:type="dxa"/>
            <w:vAlign w:val="center"/>
          </w:tcPr>
          <w:p w:rsidR="004277E7" w:rsidRPr="00D81FC1" w:rsidRDefault="004277E7"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22,10</w:t>
            </w:r>
          </w:p>
        </w:tc>
        <w:tc>
          <w:tcPr>
            <w:tcW w:w="1289" w:type="dxa"/>
            <w:vAlign w:val="center"/>
          </w:tcPr>
          <w:p w:rsidR="004277E7" w:rsidRPr="00D81FC1" w:rsidRDefault="004277E7" w:rsidP="00D81FC1">
            <w:pP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22,15</w:t>
            </w:r>
          </w:p>
        </w:tc>
        <w:tc>
          <w:tcPr>
            <w:tcW w:w="1845" w:type="dxa"/>
            <w:vAlign w:val="center"/>
          </w:tcPr>
          <w:p w:rsidR="004277E7" w:rsidRPr="00D81FC1" w:rsidRDefault="004277E7"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44260,00</w:t>
            </w:r>
            <w:r w:rsidRPr="00D81FC1">
              <w:rPr>
                <w:rFonts w:ascii="Times New Roman" w:eastAsia="Times New Roman" w:hAnsi="Times New Roman" w:cs="Times New Roman"/>
                <w:sz w:val="18"/>
                <w:szCs w:val="24"/>
              </w:rPr>
              <w:t>руб.</w:t>
            </w:r>
          </w:p>
        </w:tc>
      </w:tr>
      <w:tr w:rsidR="004277E7" w:rsidRPr="00D81FC1" w:rsidTr="004277E7">
        <w:tc>
          <w:tcPr>
            <w:tcW w:w="492" w:type="dxa"/>
          </w:tcPr>
          <w:p w:rsidR="004277E7" w:rsidRPr="00D81FC1" w:rsidRDefault="004277E7" w:rsidP="00D81FC1">
            <w:pPr>
              <w:jc w:val="center"/>
              <w:outlineLvl w:val="0"/>
              <w:rPr>
                <w:rFonts w:ascii="Times New Roman" w:eastAsia="Times New Roman" w:hAnsi="Times New Roman" w:cs="Times New Roman"/>
                <w:sz w:val="16"/>
                <w:szCs w:val="24"/>
              </w:rPr>
            </w:pPr>
            <w:r w:rsidRPr="00D81FC1">
              <w:rPr>
                <w:rFonts w:ascii="Times New Roman" w:eastAsia="Times New Roman" w:hAnsi="Times New Roman" w:cs="Times New Roman"/>
                <w:sz w:val="16"/>
                <w:szCs w:val="24"/>
              </w:rPr>
              <w:t>3</w:t>
            </w:r>
          </w:p>
        </w:tc>
        <w:tc>
          <w:tcPr>
            <w:tcW w:w="2528" w:type="dxa"/>
            <w:tcBorders>
              <w:left w:val="single" w:sz="4" w:space="0" w:color="auto"/>
            </w:tcBorders>
          </w:tcPr>
          <w:p w:rsidR="004277E7" w:rsidRDefault="004277E7" w:rsidP="00D81FC1">
            <w:pPr>
              <w:rPr>
                <w:rFonts w:ascii="Times New Roman" w:hAnsi="Times New Roman"/>
                <w:sz w:val="24"/>
                <w:szCs w:val="24"/>
              </w:rPr>
            </w:pPr>
            <w:r>
              <w:rPr>
                <w:rFonts w:ascii="Times New Roman" w:hAnsi="Times New Roman"/>
                <w:sz w:val="24"/>
                <w:szCs w:val="24"/>
              </w:rPr>
              <w:t>Бензин Аи-95</w:t>
            </w:r>
          </w:p>
        </w:tc>
        <w:tc>
          <w:tcPr>
            <w:tcW w:w="579" w:type="dxa"/>
          </w:tcPr>
          <w:p w:rsidR="004277E7" w:rsidRPr="00D81FC1" w:rsidRDefault="004277E7"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л</w:t>
            </w:r>
          </w:p>
        </w:tc>
        <w:tc>
          <w:tcPr>
            <w:tcW w:w="1265" w:type="dxa"/>
          </w:tcPr>
          <w:p w:rsidR="004277E7" w:rsidRDefault="004277E7"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4000</w:t>
            </w:r>
          </w:p>
        </w:tc>
        <w:tc>
          <w:tcPr>
            <w:tcW w:w="1347" w:type="dxa"/>
            <w:vAlign w:val="center"/>
          </w:tcPr>
          <w:p w:rsidR="004277E7" w:rsidRPr="00D81FC1" w:rsidRDefault="004277E7"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20,50</w:t>
            </w:r>
          </w:p>
        </w:tc>
        <w:tc>
          <w:tcPr>
            <w:tcW w:w="1289" w:type="dxa"/>
            <w:vAlign w:val="center"/>
          </w:tcPr>
          <w:p w:rsidR="004277E7" w:rsidRPr="00D81FC1" w:rsidRDefault="004277E7" w:rsidP="00D81FC1">
            <w:pP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20,55</w:t>
            </w:r>
          </w:p>
        </w:tc>
        <w:tc>
          <w:tcPr>
            <w:tcW w:w="1845" w:type="dxa"/>
            <w:vAlign w:val="center"/>
          </w:tcPr>
          <w:p w:rsidR="004277E7" w:rsidRPr="00D81FC1" w:rsidRDefault="004277E7"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82120,00</w:t>
            </w:r>
            <w:r w:rsidRPr="00D81FC1">
              <w:rPr>
                <w:rFonts w:ascii="Times New Roman" w:eastAsia="Times New Roman" w:hAnsi="Times New Roman" w:cs="Times New Roman"/>
                <w:sz w:val="18"/>
                <w:szCs w:val="24"/>
              </w:rPr>
              <w:t>руб.</w:t>
            </w:r>
          </w:p>
        </w:tc>
      </w:tr>
    </w:tbl>
    <w:p w:rsidR="00D81FC1" w:rsidRPr="00D81FC1" w:rsidRDefault="00D81FC1" w:rsidP="00D81FC1">
      <w:pPr>
        <w:spacing w:after="0" w:line="240" w:lineRule="auto"/>
        <w:ind w:firstLine="567"/>
        <w:outlineLvl w:val="0"/>
        <w:rPr>
          <w:rFonts w:ascii="Times New Roman" w:eastAsia="Times New Roman" w:hAnsi="Times New Roman" w:cs="Times New Roman"/>
          <w:sz w:val="24"/>
          <w:szCs w:val="24"/>
        </w:rPr>
      </w:pPr>
    </w:p>
    <w:p w:rsidR="00D81FC1" w:rsidRPr="00D81FC1" w:rsidRDefault="00D81FC1" w:rsidP="00D81FC1">
      <w:pPr>
        <w:spacing w:after="160" w:line="259" w:lineRule="auto"/>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Начальная (мак</w:t>
      </w:r>
      <w:r>
        <w:rPr>
          <w:rFonts w:ascii="Times New Roman" w:eastAsia="Times New Roman" w:hAnsi="Times New Roman" w:cs="Times New Roman"/>
          <w:b/>
          <w:lang w:eastAsia="en-US"/>
        </w:rPr>
        <w:t>симальная) цена контракта: 17</w:t>
      </w:r>
      <w:r w:rsidRPr="00D81FC1">
        <w:rPr>
          <w:rFonts w:ascii="Times New Roman" w:eastAsia="Times New Roman" w:hAnsi="Times New Roman" w:cs="Times New Roman"/>
          <w:b/>
          <w:lang w:eastAsia="en-US"/>
        </w:rPr>
        <w:t>0</w:t>
      </w:r>
      <w:r>
        <w:rPr>
          <w:rFonts w:ascii="Times New Roman" w:eastAsia="Times New Roman" w:hAnsi="Times New Roman" w:cs="Times New Roman"/>
          <w:b/>
          <w:lang w:eastAsia="en-US"/>
        </w:rPr>
        <w:t>240</w:t>
      </w:r>
      <w:r w:rsidRPr="00D81FC1">
        <w:rPr>
          <w:rFonts w:ascii="Times New Roman" w:eastAsia="Times New Roman" w:hAnsi="Times New Roman" w:cs="Times New Roman"/>
          <w:b/>
          <w:lang w:eastAsia="en-US"/>
        </w:rPr>
        <w:t>,00 рублей ПМР.</w:t>
      </w:r>
    </w:p>
    <w:p w:rsidR="00D81FC1" w:rsidRPr="00D81FC1" w:rsidRDefault="00D81FC1" w:rsidP="00D81FC1">
      <w:pPr>
        <w:spacing w:after="16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Условия контракта отражены в Проекте Контракта.</w:t>
      </w:r>
    </w:p>
    <w:p w:rsidR="00D81FC1" w:rsidRPr="00D81FC1" w:rsidRDefault="00D81FC1" w:rsidP="00D81FC1">
      <w:pPr>
        <w:numPr>
          <w:ilvl w:val="0"/>
          <w:numId w:val="2"/>
        </w:numPr>
        <w:spacing w:after="160" w:line="259" w:lineRule="auto"/>
        <w:contextualSpacing/>
        <w:jc w:val="both"/>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Требования к содержанию, в том числе составу, форме заявок на участие в запросе предложений, и инструкция по заполнению заявок.</w:t>
      </w:r>
    </w:p>
    <w:p w:rsidR="00D81FC1" w:rsidRPr="00D81FC1" w:rsidRDefault="00D81FC1" w:rsidP="00D81FC1">
      <w:pPr>
        <w:spacing w:after="0" w:line="259" w:lineRule="auto"/>
        <w:ind w:firstLine="360"/>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запроса предложений. При этом:</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1.Заявки на участие в запросе предложений предоставляются по форме и в порядке, которые указаны в документации запроса предложений, а также в месте и до истечения срока, которые указаны в извещении о проведении запроса предложений.</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2.Участник запроса предложений подает в письменной форме заявку на участие в запросе предложений в запечатанном конверте, не позволяющем просматривать содержание заявки до вскрытия, или в форме электронного документа.</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3.Заявка на участие в запросе предложений должна содержать:</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а) информацию и документы об участнике запроса предложений, подавшем такую заявку:</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 фирменное наименование (наименование), сведения об организационно- 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-выписка из единого государственного реестра юридических лиц или засвидетельствованная в нотариальном порядке копия такой выписки, выданная не раннее чем за 15 календарных дней до представления заявки на участие в запросе предложений (для юридического лица), копия свидетельства о регистрации индивидуального предпринимателя, копия разрешения на занятие предпринимательской деятельностью по упрощенной системе налогообложения;</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 документ, подтверждающий полномочия лица на осуществление действий от имени участника;</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 копии учредительных документов участника (для юридического лица);</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 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lastRenderedPageBreak/>
        <w:t>б) предложение участника в отношении объекта закупки с приложением документов, подтверждающих соответствие этого объекта требованиям, установленным документацией запроса предложений;</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 документы, подтверждающие соответствие участника запроса предложений требованиям, установленным документацией запроса предложений;</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г) документы, подтверждающие право участника запроса предложений на получение преимуществ в соответствии с настоящим Законом, или копии этих документов.</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Все листы поданной в письменной форме заявки на участие в запросе предложений, все листы тома такой заявки должны быть прошиты и пронумерованы.</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Заявка на участие в запросе предложений и том такой заявки должны содержать опись входящих в их состав документов, быть скреплены печатью участника запроса предложений (для юридического лица) и подписаны участником запроса предложений или лицом, уполномоченным участником запроса предложений.</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Непосредственно участник запроса предложений несет ответственность за подлинность и достоверность представленных информации и документов.</w:t>
      </w:r>
    </w:p>
    <w:p w:rsidR="00D81FC1" w:rsidRPr="00D81FC1" w:rsidRDefault="00D81FC1" w:rsidP="00D81FC1">
      <w:pPr>
        <w:spacing w:after="0" w:line="259" w:lineRule="auto"/>
        <w:jc w:val="center"/>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Информация о возможности заказчика изменить предусмотренные контрактом количество товара, объем работы или услуги при заключении контракта либо в ходе его исполнения</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Изменение существенных условий контракта при его исполнении не допускается, за исключением их изменения по соглашению сторон, если по предложению заказчика увеличивается предусмотренный контрактом объем работы или услуги не более чем на 10 (десять) процентов.</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При этом по соглашению сторон допускается изменение цены контракта пропорционально увеличению объема работы или услуги исходя из установленной в контракте цены работы или услуги, но не более чем на 10 (десять) процентов цены контракта;</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 изменение регулируемых тарифов на работы, услуги;</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 изменение цены контракта в сторону уменьшения в случаях, связанных с уменьшением цены</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 и (или) количества приобретаемого товара, работ, услуг, в пределах ассортимента товара (перечня работ, услуг), при сохранении условий поставки;</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rsidR="00D81FC1" w:rsidRPr="00D81FC1" w:rsidRDefault="00D81FC1" w:rsidP="00D81FC1">
      <w:pPr>
        <w:spacing w:after="0" w:line="259" w:lineRule="auto"/>
        <w:jc w:val="center"/>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Порядок проведения запроса предложений.</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Запрос предложений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Необходимая нормативная база опубликована в подразделе «Документы» на сайте государственной информационной системы ПМР в сфере закупок: http://zakupki.gospmr.org/</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Заказчик обязан предоставить всем участникам запроса предложений, подавшим заявки, возможность присутствовать при вскрытии конвертов с заявками и открытии доступа к поданным в форме электронных документов заявкам, а также при оглашении заявки, содержащей лучшие условия исполнения контракта.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Комиссией по рассмотрению заявок на участие в запросе предложений и окончательных предложений вскрываются поступившие конверты с заявками и открывается доступ к поданным в форме электронных документов заявкам.</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Все заявки участников запроса предложений оцениваются на основании критериев, указанных в документации о проведении запроса предложений, фиксируются в виде таблицы и прилагаются к протоколу проведения запроса предложений, после чего оглашаются условия исполнения контракта, содержащиеся в заявке, признанной лучшей, или условия, содержащиеся в единственной заявке, без объявления участника запроса предложений, который направил такую единственную заявку.</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После оглашения условий исполнения контракта, содержащихся в заявке, признанной лучшей, или условий, содержащихся в единственной заявке на участие в запросе предложений, запрос предложений завершается. Всем участникам или участнику запроса предложений, подавшим единственную заявку, предлагается направить окончательное предложение не позднее рабочего дня, следующего за датой проведения запроса предложений.</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lastRenderedPageBreak/>
        <w:t>Если все участники, присутствующие при проведении запроса предложений, отказались направить окончательное предложение, запрос предложений завершается. Отказ участников запроса предложений направлять окончательные предложения фиксируется в протоколе проведения запроса предложений. В этом случае окончательными предложениями признаются поданные заявки на участие в запросе предложений.</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Вскрытие конвертов с окончательными предложениями и открытие доступа к поданным в форме электронных документов окончательным предложениям осуществляются на следующий рабочий день после даты завершения проведения запроса предложений и фиксируются в итоговом протоколе. Участники запроса предложений, направившие окончательные предложения,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Выигравшим окончательным предложением является лучшее предложение, определенное комиссией на основании результатов оценки окончательных предложений. В случае если в нескольких окончательных предложениях содержатся одинаковые условия исполнения контракта, выигравшим окончательным предложением признается окончательное предложение, которое поступило раньше.</w:t>
      </w:r>
    </w:p>
    <w:p w:rsidR="00D81FC1" w:rsidRPr="00D81FC1" w:rsidRDefault="00D81FC1" w:rsidP="00D81FC1">
      <w:pPr>
        <w:spacing w:after="0" w:line="259" w:lineRule="auto"/>
        <w:jc w:val="both"/>
        <w:rPr>
          <w:rFonts w:ascii="Times New Roman" w:eastAsia="Times New Roman" w:hAnsi="Times New Roman" w:cs="Times New Roman"/>
          <w:lang w:eastAsia="en-US"/>
        </w:rPr>
      </w:pPr>
    </w:p>
    <w:p w:rsidR="00D81FC1" w:rsidRPr="00D81FC1" w:rsidRDefault="00D81FC1" w:rsidP="00D81FC1">
      <w:pPr>
        <w:spacing w:after="0" w:line="259" w:lineRule="auto"/>
        <w:jc w:val="center"/>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Порядок и срок отзыва заявок па участие в запросе предложений, порядок возврата таких заявок (в том числе поступивших после окончания срока их приема).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Участник запроса предложений вправе письменно изменить или отозвать свою заявку до истечения срока подачи заявок с учетом положений Закона ПМР «О закупках в Приднестровской Молдавской Республике».</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Изменение заявки или уведомление о ее отзыве является действительным, если изменение осуществлено или уведомление получено заказчиком до истечения срока подачи заявок, за исключением случаев, установленных Законом ПМР «О закупках в Приднестровской Молдавской Республике».</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В день, </w:t>
      </w:r>
      <w:proofErr w:type="gramStart"/>
      <w:r w:rsidRPr="00D81FC1">
        <w:rPr>
          <w:rFonts w:ascii="Times New Roman" w:eastAsia="Times New Roman" w:hAnsi="Times New Roman" w:cs="Times New Roman"/>
          <w:lang w:eastAsia="en-US"/>
        </w:rPr>
        <w:t>во время</w:t>
      </w:r>
      <w:proofErr w:type="gramEnd"/>
      <w:r w:rsidRPr="00D81FC1">
        <w:rPr>
          <w:rFonts w:ascii="Times New Roman" w:eastAsia="Times New Roman" w:hAnsi="Times New Roman" w:cs="Times New Roman"/>
          <w:lang w:eastAsia="en-US"/>
        </w:rPr>
        <w:t xml:space="preserve"> и в месте, которые указаны в извещении о проведении запроса предложений, непосредственно перед вскрытием конвертов с заявками и открытием доступа к поданным в форме электронных документов заявкам заказчик обязан публично объявить присутствующим участникам при вскрытии этих конвертов и открытии указанного доступа о возможности отзыва поданных заявок.</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 случае установления факта подачи одним участником запроса предложений 2 (двух) и более заявок на участие в запросе предложений заявки такого участника не рассматриваются и возвращаются ему.</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Возврат заявок на участие в закупке. Все заявки на участие в закупке, а также отдельные документы, входящие в состав заявки на участие в закупке не возвращаются, кроме отозванных Участниками закупки. Возврат отозванных заявок осуществляется Заказчиком в течение трех рабочих дней с момента получения уведомления об отзыве заявки на участие в запросе предложений.</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Участники запроса предложений, подавшие заявки, несоответствующие требованиям, установленным документацией о проведении запроса предложений, отстраняются, и их заявки не оцениваются. В случае установления факта подачи одним участником спроса предложений 2 (двух) и более заявок на участие в запросе предложений заявки такого участника не рассматриваются и возвращаются ему.</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Срок, в течение которого победитель запроса предложений должен подписать контракт, условия признания победителя запроса предложений уклонившимся от заключения контракта.</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Контракт с победителем закупки заключается на условиях, предусмотренных: Извещением о проведении запроса предложений, окончательным предложением победителя, не позднее чем через 5 (пять) рабочих дней со дня размещения в информационной системе Итогового протокола.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 случае если в установленный срок, победитель запроса предложений не представил.</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заказчику подписанный контракт, победитель запроса предложений признается уклонившимся от заключения контракта.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 препятству</w:t>
      </w:r>
      <w:r w:rsidRPr="00D81FC1">
        <w:rPr>
          <w:rFonts w:ascii="Times New Roman" w:eastAsia="Times New Roman" w:hAnsi="Times New Roman" w:cs="Times New Roman"/>
          <w:lang w:eastAsia="en-US"/>
        </w:rPr>
        <w:lastRenderedPageBreak/>
        <w:t>ющих подписанию контракта одной из сторон в установленные настоящей статьей сроки, эта сторона обязана уведомить другую сторону о наличии данных судебных актов иди обстоятельств в течение 1 (одного) рабочею дня следующего за днем возникновения вышеуказанных обстоятельств и вступления в силу судебных актов. При этом течение установленных настоящей статьей сроков приостанавливается на срок исполнения данных судебных актов или срок действия данных обстоятельств, но не более чем на 30 (тридцать) рабочих дней. В случае отмены,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(одного) рабочего дня, следующего за днем отмены, изменения или исполнения данных судебных актов либо прекращения действия данных обстоятельств.</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Решение о признании победителя запроса предложений уклонившимся от заключения Контракта принимается закупочной комиссией.</w:t>
      </w:r>
    </w:p>
    <w:p w:rsidR="00D81FC1" w:rsidRPr="00D81FC1" w:rsidRDefault="00D81FC1" w:rsidP="00D81FC1">
      <w:pPr>
        <w:spacing w:after="0" w:line="259" w:lineRule="auto"/>
        <w:jc w:val="center"/>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Информация о возможности одностороннего отказа от исполнения контракта.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Расторжение контракта допускается по соглашению сторон, по решению Арбитражного суда 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Приднестровской Молдавской Республики.</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Заказчик вправе принять решение об одностороннем отказе от исполнения контракта по основаниям, предусмотренным гражданским законодательством Приднестровской Молдавской Республики для одностороннего отказа, при условии, если это было предусмотрено контрактом.</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Поставщик (подрядчик, исполнитель) вправе принять решение об одностороннем отказе от исполнения контракта по основаниям,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При расторжении контракта в связи с односторонним отказом другая сторона контракта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Информация о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расторжения контракта.</w:t>
      </w:r>
    </w:p>
    <w:p w:rsidR="00D81FC1" w:rsidRPr="00D81FC1" w:rsidRDefault="00D81FC1" w:rsidP="00D81FC1">
      <w:pPr>
        <w:spacing w:after="0" w:line="259" w:lineRule="auto"/>
        <w:jc w:val="both"/>
        <w:rPr>
          <w:rFonts w:ascii="Times New Roman" w:eastAsia="Times New Roman" w:hAnsi="Times New Roman" w:cs="Times New Roman"/>
          <w:lang w:eastAsia="en-US"/>
        </w:rPr>
      </w:pPr>
    </w:p>
    <w:p w:rsidR="00D81FC1" w:rsidRDefault="004F17FF" w:rsidP="00F47D60">
      <w:r w:rsidRPr="004F17FF">
        <w:rPr>
          <w:noProof/>
        </w:rPr>
        <w:lastRenderedPageBreak/>
        <w:drawing>
          <wp:inline distT="0" distB="0" distL="0" distR="0">
            <wp:extent cx="5940425" cy="8405936"/>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5936"/>
                    </a:xfrm>
                    <a:prstGeom prst="rect">
                      <a:avLst/>
                    </a:prstGeom>
                    <a:noFill/>
                    <a:ln>
                      <a:noFill/>
                    </a:ln>
                  </pic:spPr>
                </pic:pic>
              </a:graphicData>
            </a:graphic>
          </wp:inline>
        </w:drawing>
      </w:r>
    </w:p>
    <w:p w:rsidR="004F17FF" w:rsidRDefault="004F17FF" w:rsidP="00F47D60"/>
    <w:p w:rsidR="004F17FF" w:rsidRDefault="004F17FF" w:rsidP="00F47D60">
      <w:r w:rsidRPr="004F17FF">
        <w:rPr>
          <w:noProof/>
        </w:rPr>
        <w:lastRenderedPageBreak/>
        <w:drawing>
          <wp:inline distT="0" distB="0" distL="0" distR="0">
            <wp:extent cx="5940425" cy="8405936"/>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5936"/>
                    </a:xfrm>
                    <a:prstGeom prst="rect">
                      <a:avLst/>
                    </a:prstGeom>
                    <a:noFill/>
                    <a:ln>
                      <a:noFill/>
                    </a:ln>
                  </pic:spPr>
                </pic:pic>
              </a:graphicData>
            </a:graphic>
          </wp:inline>
        </w:drawing>
      </w:r>
    </w:p>
    <w:p w:rsidR="004F17FF" w:rsidRDefault="004F17FF" w:rsidP="00F47D60"/>
    <w:p w:rsidR="004F17FF" w:rsidRDefault="004F17FF" w:rsidP="00F47D60">
      <w:pPr>
        <w:sectPr w:rsidR="004F17FF" w:rsidSect="00F47D60">
          <w:pgSz w:w="11906" w:h="16838"/>
          <w:pgMar w:top="851" w:right="850" w:bottom="993" w:left="1701" w:header="708" w:footer="708" w:gutter="0"/>
          <w:cols w:space="708"/>
          <w:docGrid w:linePitch="360"/>
        </w:sectPr>
      </w:pPr>
      <w:bookmarkStart w:id="0" w:name="_GoBack"/>
      <w:r w:rsidRPr="004F17FF">
        <w:rPr>
          <w:noProof/>
        </w:rPr>
        <w:lastRenderedPageBreak/>
        <w:drawing>
          <wp:inline distT="0" distB="0" distL="0" distR="0">
            <wp:extent cx="5940425" cy="8405936"/>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405936"/>
                    </a:xfrm>
                    <a:prstGeom prst="rect">
                      <a:avLst/>
                    </a:prstGeom>
                    <a:noFill/>
                    <a:ln>
                      <a:noFill/>
                    </a:ln>
                  </pic:spPr>
                </pic:pic>
              </a:graphicData>
            </a:graphic>
          </wp:inline>
        </w:drawing>
      </w:r>
      <w:bookmarkEnd w:id="0"/>
    </w:p>
    <w:p w:rsidR="003A5333" w:rsidRDefault="003A5333" w:rsidP="004F17FF">
      <w:pPr>
        <w:spacing w:after="0" w:line="240" w:lineRule="auto"/>
      </w:pPr>
    </w:p>
    <w:sectPr w:rsidR="003A5333" w:rsidSect="00C92A71">
      <w:pgSz w:w="16838" w:h="11906" w:orient="landscape"/>
      <w:pgMar w:top="426" w:right="1134" w:bottom="426"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706E1A"/>
    <w:multiLevelType w:val="multilevel"/>
    <w:tmpl w:val="00F62D44"/>
    <w:lvl w:ilvl="0">
      <w:start w:val="1"/>
      <w:numFmt w:val="decimal"/>
      <w:lvlText w:val="%1."/>
      <w:lvlJc w:val="left"/>
      <w:pPr>
        <w:ind w:left="1068"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 w15:restartNumberingAfterBreak="0">
    <w:nsid w:val="7F9C56E4"/>
    <w:multiLevelType w:val="hybridMultilevel"/>
    <w:tmpl w:val="CE74DC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08"/>
  <w:autoHyphenation/>
  <w:drawingGridHorizontalSpacing w:val="110"/>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008E"/>
    <w:rsid w:val="00076BD4"/>
    <w:rsid w:val="00087725"/>
    <w:rsid w:val="00094867"/>
    <w:rsid w:val="000E78C9"/>
    <w:rsid w:val="00117A4C"/>
    <w:rsid w:val="001547C7"/>
    <w:rsid w:val="0021674E"/>
    <w:rsid w:val="00320121"/>
    <w:rsid w:val="0035008E"/>
    <w:rsid w:val="003A5333"/>
    <w:rsid w:val="003D3F34"/>
    <w:rsid w:val="003D672E"/>
    <w:rsid w:val="003F6ADC"/>
    <w:rsid w:val="004277E7"/>
    <w:rsid w:val="00482C5E"/>
    <w:rsid w:val="004F17FF"/>
    <w:rsid w:val="00564563"/>
    <w:rsid w:val="00584888"/>
    <w:rsid w:val="005A29FC"/>
    <w:rsid w:val="005A2AE4"/>
    <w:rsid w:val="00612079"/>
    <w:rsid w:val="006154AF"/>
    <w:rsid w:val="006E790B"/>
    <w:rsid w:val="0074783B"/>
    <w:rsid w:val="00753E53"/>
    <w:rsid w:val="00847A39"/>
    <w:rsid w:val="00900098"/>
    <w:rsid w:val="00901A4B"/>
    <w:rsid w:val="00903EA2"/>
    <w:rsid w:val="00914AC5"/>
    <w:rsid w:val="00962DBC"/>
    <w:rsid w:val="00965874"/>
    <w:rsid w:val="009E0533"/>
    <w:rsid w:val="00AB25EF"/>
    <w:rsid w:val="00AB55CF"/>
    <w:rsid w:val="00C352C9"/>
    <w:rsid w:val="00C5319F"/>
    <w:rsid w:val="00C715E8"/>
    <w:rsid w:val="00CA4AFC"/>
    <w:rsid w:val="00CA5C6F"/>
    <w:rsid w:val="00D6551F"/>
    <w:rsid w:val="00D7210C"/>
    <w:rsid w:val="00D81FC1"/>
    <w:rsid w:val="00D820CE"/>
    <w:rsid w:val="00DF6233"/>
    <w:rsid w:val="00E538B9"/>
    <w:rsid w:val="00EB5456"/>
    <w:rsid w:val="00EF6D9D"/>
    <w:rsid w:val="00F042F8"/>
    <w:rsid w:val="00F0699B"/>
    <w:rsid w:val="00F4736E"/>
    <w:rsid w:val="00F47D60"/>
    <w:rsid w:val="00F56AE0"/>
    <w:rsid w:val="00F6393D"/>
    <w:rsid w:val="00FB2674"/>
    <w:rsid w:val="00FD319A"/>
    <w:rsid w:val="00FE7D55"/>
    <w:rsid w:val="00FF48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CCBE1"/>
  <w15:docId w15:val="{FA4818FA-0EB4-421C-AD7C-9AE4579FF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500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List Paragraph"/>
    <w:basedOn w:val="a"/>
    <w:uiPriority w:val="34"/>
    <w:qFormat/>
    <w:rsid w:val="00847A39"/>
    <w:pPr>
      <w:ind w:left="720"/>
      <w:contextualSpacing/>
    </w:pPr>
  </w:style>
  <w:style w:type="paragraph" w:styleId="a5">
    <w:name w:val="Balloon Text"/>
    <w:basedOn w:val="a"/>
    <w:link w:val="a6"/>
    <w:uiPriority w:val="99"/>
    <w:semiHidden/>
    <w:unhideWhenUsed/>
    <w:rsid w:val="00965874"/>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965874"/>
    <w:rPr>
      <w:rFonts w:ascii="Segoe UI" w:hAnsi="Segoe UI" w:cs="Segoe UI"/>
      <w:sz w:val="18"/>
      <w:szCs w:val="18"/>
    </w:rPr>
  </w:style>
  <w:style w:type="table" w:customStyle="1" w:styleId="1">
    <w:name w:val="Сетка таблицы1"/>
    <w:basedOn w:val="a1"/>
    <w:next w:val="a3"/>
    <w:uiPriority w:val="59"/>
    <w:rsid w:val="00D81FC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styles" Target="styles.xml"/><Relationship Id="rId7" Type="http://schemas.openxmlformats.org/officeDocument/2006/relationships/image" Target="media/image2.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A6E4BC-AD47-411F-A8F8-2D3DD6A627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1</Pages>
  <Words>2057</Words>
  <Characters>11731</Characters>
  <Application>Microsoft Office Word</Application>
  <DocSecurity>0</DocSecurity>
  <Lines>97</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13761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Sotnikova</cp:lastModifiedBy>
  <cp:revision>7</cp:revision>
  <cp:lastPrinted>2022-05-17T07:36:00Z</cp:lastPrinted>
  <dcterms:created xsi:type="dcterms:W3CDTF">2021-03-03T07:27:00Z</dcterms:created>
  <dcterms:modified xsi:type="dcterms:W3CDTF">2022-05-17T09:50:00Z</dcterms:modified>
</cp:coreProperties>
</file>