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0A141683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26AE1DD" w:rsidR="00E37C75" w:rsidRPr="00EA75FA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A31054">
        <w:rPr>
          <w:b/>
          <w:sz w:val="22"/>
          <w:szCs w:val="22"/>
        </w:rPr>
        <w:t>Государственная администрация города Бендеры</w:t>
      </w:r>
      <w:r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, именуемое в дальнейшем «Поставщик»,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>
        <w:rPr>
          <w:sz w:val="22"/>
          <w:szCs w:val="22"/>
        </w:rPr>
        <w:t>, действующего на основании Устава, с другой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 xml:space="preserve">, Законом Приднестровской Молдавской </w:t>
      </w:r>
      <w:r w:rsidRPr="00EA75FA">
        <w:rPr>
          <w:sz w:val="22"/>
          <w:szCs w:val="22"/>
        </w:rPr>
        <w:t>Республики от 26 ноября 2018 года № 318-З-</w:t>
      </w:r>
      <w:r w:rsidRPr="00EA75FA">
        <w:rPr>
          <w:sz w:val="22"/>
          <w:szCs w:val="22"/>
          <w:lang w:val="en-US"/>
        </w:rPr>
        <w:t>VI</w:t>
      </w:r>
      <w:r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EA75FA" w:rsidRPr="00EA75FA">
        <w:rPr>
          <w:sz w:val="22"/>
          <w:szCs w:val="22"/>
        </w:rPr>
        <w:t xml:space="preserve"> </w:t>
      </w:r>
      <w:r w:rsidRPr="00EA75FA">
        <w:rPr>
          <w:sz w:val="22"/>
          <w:szCs w:val="22"/>
        </w:rPr>
        <w:t>Планом закупок товаров, работ услуг для обеспе</w:t>
      </w:r>
      <w:r w:rsidR="007F6CE3">
        <w:rPr>
          <w:sz w:val="22"/>
          <w:szCs w:val="22"/>
        </w:rPr>
        <w:t>чения муниципальных нужд на 2022</w:t>
      </w:r>
      <w:r w:rsidRPr="00EA75FA">
        <w:rPr>
          <w:sz w:val="22"/>
          <w:szCs w:val="22"/>
        </w:rPr>
        <w:t xml:space="preserve"> </w:t>
      </w:r>
      <w:r w:rsidRPr="00670A2C">
        <w:rPr>
          <w:sz w:val="22"/>
          <w:szCs w:val="22"/>
        </w:rPr>
        <w:t>год (</w:t>
      </w:r>
      <w:r w:rsidR="00EA75FA" w:rsidRPr="00670A2C">
        <w:rPr>
          <w:sz w:val="22"/>
          <w:szCs w:val="22"/>
        </w:rPr>
        <w:t>п.</w:t>
      </w:r>
      <w:r w:rsidR="007F6CE3" w:rsidRPr="00670A2C">
        <w:rPr>
          <w:sz w:val="22"/>
          <w:szCs w:val="22"/>
        </w:rPr>
        <w:t xml:space="preserve"> </w:t>
      </w:r>
      <w:r w:rsidR="00670A2C" w:rsidRPr="006309F3">
        <w:rPr>
          <w:sz w:val="22"/>
          <w:szCs w:val="22"/>
          <w:lang w:eastAsia="en-US"/>
        </w:rPr>
        <w:t>1</w:t>
      </w:r>
      <w:r w:rsidR="00C6715A" w:rsidRPr="006309F3">
        <w:rPr>
          <w:sz w:val="22"/>
          <w:szCs w:val="22"/>
          <w:lang w:eastAsia="en-US"/>
        </w:rPr>
        <w:t>.</w:t>
      </w:r>
      <w:r w:rsidR="006309F3">
        <w:rPr>
          <w:sz w:val="22"/>
          <w:szCs w:val="22"/>
          <w:lang w:eastAsia="en-US"/>
        </w:rPr>
        <w:t>17.1</w:t>
      </w:r>
      <w:r w:rsidR="006309F3" w:rsidRPr="006309F3">
        <w:rPr>
          <w:sz w:val="22"/>
          <w:szCs w:val="22"/>
          <w:lang w:eastAsia="en-US"/>
        </w:rPr>
        <w:t>,</w:t>
      </w:r>
      <w:r w:rsidR="00670A2C" w:rsidRPr="006309F3">
        <w:rPr>
          <w:sz w:val="22"/>
          <w:szCs w:val="22"/>
          <w:lang w:eastAsia="en-US"/>
        </w:rPr>
        <w:t>1.17.3</w:t>
      </w:r>
      <w:r w:rsidRPr="00670A2C">
        <w:rPr>
          <w:sz w:val="22"/>
          <w:szCs w:val="22"/>
        </w:rPr>
        <w:t>)</w:t>
      </w:r>
      <w:r w:rsidR="00A31054" w:rsidRPr="00670A2C">
        <w:rPr>
          <w:sz w:val="22"/>
          <w:szCs w:val="22"/>
        </w:rPr>
        <w:t>,</w:t>
      </w:r>
      <w:r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запроса предложений </w:t>
      </w:r>
      <w:r w:rsidR="00A31054">
        <w:rPr>
          <w:rFonts w:eastAsia="Times New Roman"/>
          <w:sz w:val="22"/>
          <w:szCs w:val="22"/>
        </w:rPr>
        <w:t>(</w:t>
      </w:r>
      <w:r w:rsidR="00A31054" w:rsidRPr="00EA75FA">
        <w:rPr>
          <w:rFonts w:eastAsia="Times New Roman"/>
          <w:sz w:val="22"/>
          <w:szCs w:val="22"/>
        </w:rPr>
        <w:t>извещение</w:t>
      </w:r>
      <w:proofErr w:type="gramEnd"/>
      <w:r w:rsidR="00A31054" w:rsidRPr="00EA75FA">
        <w:rPr>
          <w:rFonts w:eastAsia="Times New Roman"/>
          <w:sz w:val="22"/>
          <w:szCs w:val="22"/>
        </w:rPr>
        <w:t xml:space="preserve"> </w:t>
      </w:r>
      <w:r w:rsidR="006E53AD">
        <w:rPr>
          <w:rFonts w:eastAsia="Times New Roman"/>
          <w:sz w:val="22"/>
          <w:szCs w:val="22"/>
        </w:rPr>
        <w:t xml:space="preserve">о закупке </w:t>
      </w:r>
      <w:r w:rsidR="007F6CE3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EA75FA">
        <w:rPr>
          <w:rFonts w:eastAsia="Times New Roman"/>
          <w:sz w:val="22"/>
          <w:szCs w:val="22"/>
        </w:rPr>
        <w:t xml:space="preserve">от </w:t>
      </w:r>
      <w:r w:rsidR="007F6CE3">
        <w:rPr>
          <w:rFonts w:eastAsia="Times New Roman"/>
          <w:sz w:val="22"/>
          <w:szCs w:val="22"/>
        </w:rPr>
        <w:t>_______2022</w:t>
      </w:r>
      <w:r w:rsidR="00A31054" w:rsidRPr="00EA75FA">
        <w:rPr>
          <w:rFonts w:eastAsia="Times New Roman"/>
          <w:sz w:val="22"/>
          <w:szCs w:val="22"/>
        </w:rPr>
        <w:t xml:space="preserve"> года,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</w:t>
      </w:r>
      <w:r w:rsidR="00A31054">
        <w:rPr>
          <w:rFonts w:eastAsia="Times New Roman"/>
          <w:sz w:val="22"/>
          <w:szCs w:val="22"/>
        </w:rPr>
        <w:t>з</w:t>
      </w:r>
      <w:bookmarkStart w:id="1" w:name="_GoBack"/>
      <w:bookmarkEnd w:id="1"/>
      <w:r w:rsidR="00A31054">
        <w:rPr>
          <w:rFonts w:eastAsia="Times New Roman"/>
          <w:sz w:val="22"/>
          <w:szCs w:val="22"/>
        </w:rPr>
        <w:t xml:space="preserve">апроса предложений по закупке </w:t>
      </w:r>
      <w:r w:rsidR="00670A2C">
        <w:rPr>
          <w:rFonts w:eastAsia="Times New Roman"/>
          <w:sz w:val="22"/>
          <w:szCs w:val="22"/>
        </w:rPr>
        <w:t xml:space="preserve">оргтехники и периферийных устройств </w:t>
      </w:r>
      <w:r w:rsidR="00A31054" w:rsidRPr="00EA75FA">
        <w:rPr>
          <w:rFonts w:eastAsia="Times New Roman"/>
          <w:sz w:val="22"/>
          <w:szCs w:val="22"/>
        </w:rPr>
        <w:t xml:space="preserve">от  </w:t>
      </w:r>
      <w:r w:rsidR="00DD65AA">
        <w:rPr>
          <w:rFonts w:eastAsia="Times New Roman"/>
          <w:sz w:val="22"/>
          <w:szCs w:val="22"/>
        </w:rPr>
        <w:t>___________2022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65C12662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670A2C">
        <w:rPr>
          <w:sz w:val="22"/>
          <w:szCs w:val="22"/>
          <w:lang w:eastAsia="en-US"/>
        </w:rPr>
        <w:t>оргтехнику и периферийные устройства</w:t>
      </w:r>
      <w:r w:rsidR="00BA2339" w:rsidRPr="007F5CBC">
        <w:rPr>
          <w:sz w:val="22"/>
          <w:szCs w:val="22"/>
          <w:lang w:eastAsia="en-US"/>
        </w:rPr>
        <w:t xml:space="preserve"> </w:t>
      </w:r>
      <w:r w:rsidRPr="007F5CBC">
        <w:rPr>
          <w:sz w:val="22"/>
          <w:szCs w:val="22"/>
          <w:lang w:eastAsia="en-US"/>
        </w:rPr>
        <w:t xml:space="preserve">(далее - Товар) путем </w:t>
      </w:r>
      <w:r w:rsidR="00BA2339" w:rsidRPr="007F5CBC">
        <w:rPr>
          <w:sz w:val="22"/>
          <w:szCs w:val="22"/>
          <w:lang w:eastAsia="en-US"/>
        </w:rPr>
        <w:t>их</w:t>
      </w:r>
      <w:r w:rsidRPr="007F5CBC">
        <w:rPr>
          <w:sz w:val="22"/>
          <w:szCs w:val="22"/>
          <w:lang w:eastAsia="en-US"/>
        </w:rPr>
        <w:t xml:space="preserve"> отгрузки (передачи).</w:t>
      </w:r>
    </w:p>
    <w:p w14:paraId="2CCE5948" w14:textId="3DEA641B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0343F75A" w14:textId="2B952B14" w:rsidR="00E37C75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1.3. </w:t>
      </w:r>
      <w:r w:rsidR="00670A2C">
        <w:rPr>
          <w:sz w:val="22"/>
          <w:szCs w:val="22"/>
        </w:rPr>
        <w:t>Заказчик</w:t>
      </w:r>
      <w:r w:rsidRPr="007F5CBC">
        <w:rPr>
          <w:sz w:val="22"/>
          <w:szCs w:val="22"/>
        </w:rPr>
        <w:t xml:space="preserve"> обязуется принять</w:t>
      </w:r>
      <w:r w:rsidR="00BA2339" w:rsidRPr="007F5CBC">
        <w:rPr>
          <w:sz w:val="22"/>
          <w:szCs w:val="22"/>
        </w:rPr>
        <w:t xml:space="preserve"> и оплатить</w:t>
      </w:r>
      <w:r w:rsidRPr="007F5CBC">
        <w:rPr>
          <w:sz w:val="22"/>
          <w:szCs w:val="22"/>
        </w:rPr>
        <w:t xml:space="preserve">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14:paraId="6174E327" w14:textId="4B54DDE1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1.4.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77777777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670A2C">
        <w:rPr>
          <w:sz w:val="22"/>
          <w:szCs w:val="22"/>
          <w:lang w:eastAsia="ar-SA"/>
        </w:rPr>
        <w:t>местный бюджет</w:t>
      </w:r>
      <w:r>
        <w:rPr>
          <w:sz w:val="22"/>
          <w:szCs w:val="22"/>
          <w:lang w:eastAsia="ar-SA"/>
        </w:rPr>
        <w:t>.</w:t>
      </w:r>
    </w:p>
    <w:p w14:paraId="70BAADCA" w14:textId="789630F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670A2C" w:rsidRPr="00670A2C">
        <w:rPr>
          <w:sz w:val="22"/>
          <w:szCs w:val="22"/>
          <w:lang w:eastAsia="ar-SA"/>
        </w:rPr>
        <w:t>Заказчик производит Поставщику предварительную оплату (аванс) в размере 100 (ста) % цены договора (стоимости Товара).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олучателем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4A334F82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BB42D1B" w14:textId="5D7C883E" w:rsidR="00670A2C" w:rsidRDefault="00670A2C" w:rsidP="00670A2C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</w:t>
      </w: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64845F62" w14:textId="207D3356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lastRenderedPageBreak/>
        <w:t xml:space="preserve">3.1. </w:t>
      </w:r>
      <w:r w:rsidR="00670A2C" w:rsidRPr="00670A2C">
        <w:rPr>
          <w:rFonts w:eastAsia="Times New Roman"/>
          <w:sz w:val="22"/>
        </w:rPr>
        <w:t>Поставка товара осуществляется Поставщиком путём его отгрузки (передачи) Заказчику в течение  10 (десяти) рабочих дней с момента получения Поставщиком предварительной оплаты.</w:t>
      </w:r>
    </w:p>
    <w:p w14:paraId="5E6C09BD" w14:textId="43430DC9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670A2C">
        <w:rPr>
          <w:sz w:val="22"/>
          <w:szCs w:val="22"/>
        </w:rPr>
        <w:t>Ленина, 17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1F494552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31935489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</w:t>
      </w:r>
      <w:r w:rsidR="00670A2C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5058A886" w:rsidR="0021572E" w:rsidRDefault="00BF5FA4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инструкцию по эксплуатации (</w:t>
      </w:r>
      <w:r w:rsidR="0021572E">
        <w:rPr>
          <w:sz w:val="22"/>
          <w:szCs w:val="22"/>
        </w:rPr>
        <w:t>при наличии);</w:t>
      </w:r>
    </w:p>
    <w:p w14:paraId="4CCDF1AB" w14:textId="77777777" w:rsidR="00E37C75" w:rsidRDefault="00D35B28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ж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1C5F11E4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</w:t>
      </w:r>
      <w:r w:rsidR="00670A2C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вправе не принимать его до дня предоставления соответствующих документов. </w:t>
      </w:r>
    </w:p>
    <w:p w14:paraId="37F24926" w14:textId="6D7ACC9E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2ACD026F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670A2C">
        <w:rPr>
          <w:sz w:val="22"/>
          <w:szCs w:val="22"/>
        </w:rPr>
        <w:t>Заказчика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2048F718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3.7. </w:t>
      </w:r>
      <w:proofErr w:type="gramStart"/>
      <w:r w:rsidRPr="007F5CBC">
        <w:rPr>
          <w:sz w:val="22"/>
          <w:szCs w:val="22"/>
        </w:rPr>
        <w:t>При недопоставке Товара (отсутствует часть заказанных Товаров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 xml:space="preserve">и т.п.), Поставщик обязан восполнить недопоставленный Товар в течение 1 (одного) рабочего дня с момента проставления </w:t>
      </w:r>
      <w:r w:rsidR="00670A2C">
        <w:rPr>
          <w:sz w:val="22"/>
          <w:szCs w:val="22"/>
        </w:rPr>
        <w:t>Заказчиком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F4F6EDE" w14:textId="78AA713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 xml:space="preserve">3.8. Поставщик гарантирует качество и надежность поставляемого Товара. При поставке Товара ненадлежащего качества </w:t>
      </w:r>
      <w:r w:rsidR="00670A2C">
        <w:rPr>
          <w:sz w:val="22"/>
          <w:szCs w:val="22"/>
          <w:lang w:eastAsia="ar-SA"/>
        </w:rPr>
        <w:t>Заказчик</w:t>
      </w:r>
      <w:r>
        <w:rPr>
          <w:sz w:val="22"/>
          <w:szCs w:val="22"/>
          <w:lang w:eastAsia="ar-SA"/>
        </w:rPr>
        <w:t xml:space="preserve">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5F9D5A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4A0C3ED1" w14:textId="77777777" w:rsidR="00E37C75" w:rsidRPr="00646262" w:rsidRDefault="00E37C75" w:rsidP="008A4E8E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3FF8F7BC" w14:textId="77777777" w:rsidR="00670A2C" w:rsidRDefault="00670A2C" w:rsidP="008A4E8E">
      <w:pPr>
        <w:ind w:firstLine="709"/>
        <w:jc w:val="both"/>
        <w:rPr>
          <w:sz w:val="22"/>
          <w:szCs w:val="22"/>
        </w:rPr>
      </w:pPr>
    </w:p>
    <w:p w14:paraId="4F0278D2" w14:textId="77777777" w:rsidR="00670A2C" w:rsidRDefault="00670A2C" w:rsidP="00670A2C">
      <w:pPr>
        <w:ind w:right="-1"/>
        <w:rPr>
          <w:sz w:val="20"/>
          <w:szCs w:val="20"/>
        </w:rPr>
      </w:pPr>
    </w:p>
    <w:p w14:paraId="5F032C4B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4D44AF3A" w14:textId="010B61CF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710ED59A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4.2.1. поставить Получателю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>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4604808E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670A2C">
        <w:rPr>
          <w:sz w:val="22"/>
          <w:szCs w:val="22"/>
          <w:lang w:eastAsia="ar-SA"/>
        </w:rPr>
        <w:t>Заказчику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4ED12832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Заказчиком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98D2A5B" w14:textId="55BFF3CE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1A7023E0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709B4EA1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0F7758EE" w14:textId="3C7BE216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26A1FB3B" w14:textId="77777777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lastRenderedPageBreak/>
        <w:t>4.4. «Заказчик» обязан:</w:t>
      </w:r>
    </w:p>
    <w:p w14:paraId="2F2FD8A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59967C4B" w14:textId="77777777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4952A536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2ECBD9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60954CBA" w14:textId="4A484AB0" w:rsidR="00E37C75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19F45D39" w:rsidR="00E37C75" w:rsidRPr="007F5CBC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5.4</w:t>
      </w:r>
      <w:r w:rsidR="00E37C75" w:rsidRPr="007F5CBC">
        <w:rPr>
          <w:sz w:val="22"/>
          <w:szCs w:val="22"/>
          <w:lang w:eastAsia="en-US"/>
        </w:rPr>
        <w:t>. На Товар устанавливается</w:t>
      </w:r>
      <w:r w:rsidRPr="007F5CBC">
        <w:rPr>
          <w:sz w:val="22"/>
          <w:szCs w:val="22"/>
          <w:lang w:eastAsia="en-US"/>
        </w:rPr>
        <w:t xml:space="preserve"> гарантийный срок</w:t>
      </w:r>
      <w:r w:rsidR="00E37C75" w:rsidRPr="007F5CBC">
        <w:rPr>
          <w:sz w:val="22"/>
          <w:szCs w:val="22"/>
          <w:lang w:eastAsia="en-US"/>
        </w:rPr>
        <w:t xml:space="preserve"> равный </w:t>
      </w:r>
      <w:r w:rsidRPr="007F5CBC">
        <w:rPr>
          <w:sz w:val="22"/>
          <w:szCs w:val="22"/>
          <w:lang w:eastAsia="en-US"/>
        </w:rPr>
        <w:t>гарантийному сроку</w:t>
      </w:r>
      <w:r w:rsidR="00E37C75" w:rsidRPr="007F5CBC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7F5CBC">
        <w:rPr>
          <w:sz w:val="22"/>
          <w:szCs w:val="22"/>
          <w:lang w:eastAsia="en-US"/>
        </w:rPr>
        <w:t xml:space="preserve"> (заводом-изготовителем)</w:t>
      </w:r>
      <w:r w:rsidRPr="007F5CBC">
        <w:rPr>
          <w:sz w:val="22"/>
          <w:szCs w:val="22"/>
          <w:lang w:eastAsia="en-US"/>
        </w:rPr>
        <w:t xml:space="preserve">, </w:t>
      </w:r>
      <w:r w:rsidR="00533B5F" w:rsidRPr="007F5CBC">
        <w:rPr>
          <w:sz w:val="22"/>
          <w:szCs w:val="22"/>
          <w:lang w:eastAsia="en-US"/>
        </w:rPr>
        <w:t>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  <w:r w:rsidR="00E37C75" w:rsidRPr="007F5CBC"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47AC8391" w14:textId="6BED0251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5.5</w:t>
      </w:r>
      <w:r w:rsidR="00E37C75" w:rsidRPr="007F5CBC">
        <w:rPr>
          <w:sz w:val="22"/>
          <w:szCs w:val="22"/>
          <w:lang w:eastAsia="ar-SA"/>
        </w:rPr>
        <w:t>. При обнаружении недостатков (дефектов, брака) Товара в период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E37C75" w:rsidRPr="007F5CBC">
        <w:rPr>
          <w:sz w:val="22"/>
          <w:szCs w:val="22"/>
          <w:lang w:eastAsia="ar-SA"/>
        </w:rPr>
        <w:t xml:space="preserve"> 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r w:rsidRPr="007F5CBC">
        <w:rPr>
          <w:sz w:val="22"/>
          <w:szCs w:val="22"/>
          <w:lang w:eastAsia="ar-SA"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37CE1078" w14:textId="77777777" w:rsidR="00670A2C" w:rsidRDefault="00670A2C" w:rsidP="00670A2C">
      <w:pPr>
        <w:shd w:val="clear" w:color="auto" w:fill="FFFFFF"/>
        <w:spacing w:before="120" w:after="120"/>
        <w:ind w:right="6"/>
        <w:rPr>
          <w:b/>
          <w:sz w:val="22"/>
          <w:szCs w:val="22"/>
          <w:lang w:eastAsia="en-US"/>
        </w:rPr>
      </w:pPr>
    </w:p>
    <w:p w14:paraId="2F23B989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75A97B8" w14:textId="50691D17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13536BC6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  <w:proofErr w:type="gramEnd"/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5696458A" w14:textId="77777777" w:rsidR="00670A2C" w:rsidRDefault="00670A2C" w:rsidP="00670A2C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3C1EA67E" w14:textId="18A84894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670A2C" w:rsidRPr="00C47E5A" w14:paraId="121DF367" w14:textId="77777777" w:rsidTr="00670A2C">
        <w:tc>
          <w:tcPr>
            <w:tcW w:w="5245" w:type="dxa"/>
          </w:tcPr>
          <w:p w14:paraId="0B7F047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670A2C" w:rsidRDefault="00670A2C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670A2C" w:rsidRDefault="00670A2C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lastRenderedPageBreak/>
              <w:t xml:space="preserve">ф/к 0300000409                                                   </w:t>
            </w:r>
          </w:p>
          <w:p w14:paraId="1B7EE399" w14:textId="77777777" w:rsidR="00670A2C" w:rsidRDefault="00670A2C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670A2C" w:rsidRDefault="00670A2C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670A2C" w:rsidRPr="00C47E5A" w:rsidRDefault="00670A2C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670A2C" w:rsidRDefault="00670A2C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670A2C" w:rsidRPr="00C47E5A" w:rsidRDefault="00670A2C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14:paraId="1024F0A1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lastRenderedPageBreak/>
              <w:t>Поставщик</w:t>
            </w:r>
          </w:p>
          <w:p w14:paraId="743001F0" w14:textId="77777777" w:rsidR="00670A2C" w:rsidRPr="00C47E5A" w:rsidRDefault="00670A2C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77777777" w:rsidR="00E37C75" w:rsidRPr="003E4C02" w:rsidRDefault="00E37C75" w:rsidP="003E4C02">
      <w:pPr>
        <w:rPr>
          <w:sz w:val="22"/>
          <w:szCs w:val="22"/>
        </w:rPr>
      </w:pPr>
    </w:p>
    <w:p w14:paraId="6FD7448B" w14:textId="77777777" w:rsidR="00E37C75" w:rsidRPr="003E4C02" w:rsidRDefault="00E37C75" w:rsidP="003E4C02">
      <w:pPr>
        <w:rPr>
          <w:sz w:val="22"/>
          <w:szCs w:val="22"/>
        </w:rPr>
      </w:pPr>
    </w:p>
    <w:p w14:paraId="306D8B52" w14:textId="77777777" w:rsidR="00E37C75" w:rsidRPr="003E4C02" w:rsidRDefault="00E37C75" w:rsidP="003E4C02">
      <w:pPr>
        <w:rPr>
          <w:sz w:val="22"/>
          <w:szCs w:val="22"/>
        </w:rPr>
      </w:pPr>
    </w:p>
    <w:p w14:paraId="416C3B2A" w14:textId="77777777" w:rsidR="00670A2C" w:rsidRDefault="00670A2C" w:rsidP="008A4E8E">
      <w:pPr>
        <w:jc w:val="right"/>
        <w:rPr>
          <w:sz w:val="22"/>
          <w:szCs w:val="22"/>
        </w:rPr>
      </w:pPr>
    </w:p>
    <w:p w14:paraId="70269C69" w14:textId="77777777" w:rsidR="00670A2C" w:rsidRDefault="00670A2C" w:rsidP="008A4E8E">
      <w:pPr>
        <w:jc w:val="right"/>
        <w:rPr>
          <w:sz w:val="22"/>
          <w:szCs w:val="22"/>
        </w:rPr>
      </w:pPr>
    </w:p>
    <w:p w14:paraId="144B6667" w14:textId="77777777" w:rsidR="00670A2C" w:rsidRDefault="00670A2C" w:rsidP="008A4E8E">
      <w:pPr>
        <w:jc w:val="right"/>
        <w:rPr>
          <w:sz w:val="22"/>
          <w:szCs w:val="22"/>
        </w:rPr>
      </w:pPr>
    </w:p>
    <w:p w14:paraId="2BA43371" w14:textId="77777777" w:rsidR="00670A2C" w:rsidRDefault="00670A2C" w:rsidP="008A4E8E">
      <w:pPr>
        <w:jc w:val="right"/>
        <w:rPr>
          <w:sz w:val="22"/>
          <w:szCs w:val="22"/>
        </w:rPr>
      </w:pPr>
    </w:p>
    <w:p w14:paraId="55564E77" w14:textId="77777777" w:rsidR="00670A2C" w:rsidRDefault="00670A2C" w:rsidP="008A4E8E">
      <w:pPr>
        <w:jc w:val="right"/>
        <w:rPr>
          <w:sz w:val="22"/>
          <w:szCs w:val="22"/>
        </w:rPr>
      </w:pPr>
    </w:p>
    <w:p w14:paraId="6B0D11F4" w14:textId="77777777" w:rsidR="00670A2C" w:rsidRDefault="00670A2C" w:rsidP="008A4E8E">
      <w:pPr>
        <w:jc w:val="right"/>
        <w:rPr>
          <w:sz w:val="22"/>
          <w:szCs w:val="22"/>
        </w:rPr>
      </w:pPr>
    </w:p>
    <w:p w14:paraId="6F76BEF7" w14:textId="77777777" w:rsidR="00670A2C" w:rsidRDefault="00670A2C" w:rsidP="008A4E8E">
      <w:pPr>
        <w:jc w:val="right"/>
        <w:rPr>
          <w:sz w:val="22"/>
          <w:szCs w:val="22"/>
        </w:rPr>
      </w:pPr>
    </w:p>
    <w:p w14:paraId="3988F75A" w14:textId="77777777" w:rsidR="00670A2C" w:rsidRDefault="00670A2C" w:rsidP="008A4E8E">
      <w:pPr>
        <w:jc w:val="right"/>
        <w:rPr>
          <w:sz w:val="22"/>
          <w:szCs w:val="22"/>
        </w:rPr>
      </w:pPr>
    </w:p>
    <w:p w14:paraId="568607A5" w14:textId="77777777" w:rsidR="00670A2C" w:rsidRDefault="00670A2C" w:rsidP="008A4E8E">
      <w:pPr>
        <w:jc w:val="right"/>
        <w:rPr>
          <w:sz w:val="22"/>
          <w:szCs w:val="22"/>
        </w:rPr>
      </w:pPr>
    </w:p>
    <w:p w14:paraId="6EE01783" w14:textId="77777777" w:rsidR="00670A2C" w:rsidRDefault="00670A2C" w:rsidP="008A4E8E">
      <w:pPr>
        <w:jc w:val="right"/>
        <w:rPr>
          <w:sz w:val="22"/>
          <w:szCs w:val="22"/>
        </w:rPr>
      </w:pPr>
    </w:p>
    <w:p w14:paraId="25F2DCE0" w14:textId="77777777" w:rsidR="00670A2C" w:rsidRDefault="00670A2C" w:rsidP="008A4E8E">
      <w:pPr>
        <w:jc w:val="right"/>
        <w:rPr>
          <w:sz w:val="22"/>
          <w:szCs w:val="22"/>
        </w:rPr>
      </w:pPr>
    </w:p>
    <w:p w14:paraId="71104095" w14:textId="77777777" w:rsidR="00670A2C" w:rsidRDefault="00670A2C" w:rsidP="008A4E8E">
      <w:pPr>
        <w:jc w:val="right"/>
        <w:rPr>
          <w:sz w:val="22"/>
          <w:szCs w:val="22"/>
        </w:rPr>
      </w:pPr>
    </w:p>
    <w:p w14:paraId="178A91B6" w14:textId="77777777" w:rsidR="00670A2C" w:rsidRDefault="00670A2C" w:rsidP="008A4E8E">
      <w:pPr>
        <w:jc w:val="right"/>
        <w:rPr>
          <w:sz w:val="22"/>
          <w:szCs w:val="22"/>
        </w:rPr>
      </w:pPr>
    </w:p>
    <w:p w14:paraId="3A04B714" w14:textId="77777777" w:rsidR="00670A2C" w:rsidRDefault="00670A2C" w:rsidP="008A4E8E">
      <w:pPr>
        <w:jc w:val="right"/>
        <w:rPr>
          <w:sz w:val="22"/>
          <w:szCs w:val="22"/>
        </w:rPr>
      </w:pPr>
    </w:p>
    <w:p w14:paraId="61F04A70" w14:textId="77777777" w:rsidR="00670A2C" w:rsidRDefault="00670A2C" w:rsidP="008A4E8E">
      <w:pPr>
        <w:jc w:val="right"/>
        <w:rPr>
          <w:sz w:val="22"/>
          <w:szCs w:val="22"/>
        </w:rPr>
      </w:pPr>
    </w:p>
    <w:p w14:paraId="5A64922A" w14:textId="77777777" w:rsidR="00670A2C" w:rsidRDefault="00670A2C" w:rsidP="008A4E8E">
      <w:pPr>
        <w:jc w:val="right"/>
        <w:rPr>
          <w:sz w:val="22"/>
          <w:szCs w:val="22"/>
        </w:rPr>
      </w:pPr>
    </w:p>
    <w:p w14:paraId="5F48292D" w14:textId="77777777" w:rsidR="00670A2C" w:rsidRDefault="00670A2C" w:rsidP="008A4E8E">
      <w:pPr>
        <w:jc w:val="right"/>
        <w:rPr>
          <w:sz w:val="22"/>
          <w:szCs w:val="22"/>
        </w:rPr>
      </w:pPr>
    </w:p>
    <w:p w14:paraId="6E608DF8" w14:textId="77777777" w:rsidR="00670A2C" w:rsidRDefault="00670A2C" w:rsidP="008A4E8E">
      <w:pPr>
        <w:jc w:val="right"/>
        <w:rPr>
          <w:sz w:val="22"/>
          <w:szCs w:val="22"/>
        </w:rPr>
      </w:pPr>
    </w:p>
    <w:p w14:paraId="09334F25" w14:textId="77777777" w:rsidR="00670A2C" w:rsidRDefault="00670A2C" w:rsidP="008A4E8E">
      <w:pPr>
        <w:jc w:val="right"/>
        <w:rPr>
          <w:sz w:val="22"/>
          <w:szCs w:val="22"/>
        </w:rPr>
      </w:pPr>
    </w:p>
    <w:p w14:paraId="106FEF39" w14:textId="77777777" w:rsidR="00670A2C" w:rsidRDefault="00670A2C" w:rsidP="008A4E8E">
      <w:pPr>
        <w:jc w:val="right"/>
        <w:rPr>
          <w:sz w:val="22"/>
          <w:szCs w:val="22"/>
        </w:rPr>
      </w:pPr>
    </w:p>
    <w:p w14:paraId="31391AB3" w14:textId="77777777" w:rsidR="00670A2C" w:rsidRDefault="00670A2C" w:rsidP="008A4E8E">
      <w:pPr>
        <w:jc w:val="right"/>
        <w:rPr>
          <w:sz w:val="22"/>
          <w:szCs w:val="22"/>
        </w:rPr>
      </w:pPr>
    </w:p>
    <w:p w14:paraId="76C21952" w14:textId="77777777" w:rsidR="00670A2C" w:rsidRDefault="00670A2C" w:rsidP="008A4E8E">
      <w:pPr>
        <w:jc w:val="right"/>
        <w:rPr>
          <w:sz w:val="22"/>
          <w:szCs w:val="22"/>
        </w:rPr>
      </w:pPr>
    </w:p>
    <w:p w14:paraId="0F5245E5" w14:textId="77777777" w:rsidR="00670A2C" w:rsidRDefault="00670A2C" w:rsidP="008A4E8E">
      <w:pPr>
        <w:jc w:val="right"/>
        <w:rPr>
          <w:sz w:val="22"/>
          <w:szCs w:val="22"/>
        </w:rPr>
      </w:pPr>
    </w:p>
    <w:p w14:paraId="62501345" w14:textId="77777777" w:rsidR="00670A2C" w:rsidRDefault="00670A2C" w:rsidP="008A4E8E">
      <w:pPr>
        <w:jc w:val="right"/>
        <w:rPr>
          <w:sz w:val="22"/>
          <w:szCs w:val="22"/>
        </w:rPr>
      </w:pPr>
    </w:p>
    <w:p w14:paraId="350016EF" w14:textId="77777777" w:rsidR="00670A2C" w:rsidRDefault="00670A2C" w:rsidP="008A4E8E">
      <w:pPr>
        <w:jc w:val="right"/>
        <w:rPr>
          <w:sz w:val="22"/>
          <w:szCs w:val="22"/>
        </w:rPr>
      </w:pPr>
    </w:p>
    <w:p w14:paraId="5F7C92A2" w14:textId="77777777" w:rsidR="00670A2C" w:rsidRDefault="00670A2C" w:rsidP="008A4E8E">
      <w:pPr>
        <w:jc w:val="right"/>
        <w:rPr>
          <w:sz w:val="22"/>
          <w:szCs w:val="22"/>
        </w:rPr>
      </w:pPr>
    </w:p>
    <w:p w14:paraId="49123974" w14:textId="77777777" w:rsidR="00670A2C" w:rsidRDefault="00670A2C" w:rsidP="008A4E8E">
      <w:pPr>
        <w:jc w:val="right"/>
        <w:rPr>
          <w:sz w:val="22"/>
          <w:szCs w:val="22"/>
        </w:rPr>
      </w:pPr>
    </w:p>
    <w:p w14:paraId="5B32E07E" w14:textId="77777777" w:rsidR="00670A2C" w:rsidRDefault="00670A2C" w:rsidP="008A4E8E">
      <w:pPr>
        <w:jc w:val="right"/>
        <w:rPr>
          <w:sz w:val="22"/>
          <w:szCs w:val="22"/>
        </w:rPr>
      </w:pPr>
    </w:p>
    <w:p w14:paraId="49DB3B4F" w14:textId="77777777" w:rsidR="00670A2C" w:rsidRDefault="00670A2C" w:rsidP="008A4E8E">
      <w:pPr>
        <w:jc w:val="right"/>
        <w:rPr>
          <w:sz w:val="22"/>
          <w:szCs w:val="22"/>
        </w:rPr>
      </w:pPr>
    </w:p>
    <w:p w14:paraId="7A7F1100" w14:textId="77777777" w:rsidR="00670A2C" w:rsidRDefault="00670A2C" w:rsidP="008A4E8E">
      <w:pPr>
        <w:jc w:val="right"/>
        <w:rPr>
          <w:sz w:val="22"/>
          <w:szCs w:val="22"/>
        </w:rPr>
      </w:pPr>
    </w:p>
    <w:p w14:paraId="77BC1BE4" w14:textId="77777777" w:rsidR="00670A2C" w:rsidRDefault="00670A2C" w:rsidP="008A4E8E">
      <w:pPr>
        <w:jc w:val="right"/>
        <w:rPr>
          <w:sz w:val="22"/>
          <w:szCs w:val="22"/>
        </w:rPr>
      </w:pPr>
    </w:p>
    <w:p w14:paraId="0686F371" w14:textId="77777777" w:rsidR="00670A2C" w:rsidRDefault="00670A2C" w:rsidP="008A4E8E">
      <w:pPr>
        <w:jc w:val="right"/>
        <w:rPr>
          <w:sz w:val="22"/>
          <w:szCs w:val="22"/>
        </w:rPr>
      </w:pPr>
    </w:p>
    <w:p w14:paraId="0235E20A" w14:textId="77777777" w:rsidR="00670A2C" w:rsidRDefault="00670A2C" w:rsidP="008A4E8E">
      <w:pPr>
        <w:jc w:val="right"/>
        <w:rPr>
          <w:sz w:val="22"/>
          <w:szCs w:val="22"/>
        </w:rPr>
      </w:pPr>
    </w:p>
    <w:p w14:paraId="682D3EA5" w14:textId="77777777" w:rsidR="00670A2C" w:rsidRDefault="00670A2C" w:rsidP="008A4E8E">
      <w:pPr>
        <w:jc w:val="right"/>
        <w:rPr>
          <w:sz w:val="22"/>
          <w:szCs w:val="22"/>
        </w:rPr>
      </w:pPr>
    </w:p>
    <w:p w14:paraId="2AC935CF" w14:textId="77777777" w:rsidR="00670A2C" w:rsidRDefault="00670A2C" w:rsidP="008A4E8E">
      <w:pPr>
        <w:jc w:val="right"/>
        <w:rPr>
          <w:sz w:val="22"/>
          <w:szCs w:val="22"/>
        </w:rPr>
      </w:pPr>
    </w:p>
    <w:p w14:paraId="042205F8" w14:textId="77777777" w:rsidR="00670A2C" w:rsidRDefault="00670A2C" w:rsidP="008A4E8E">
      <w:pPr>
        <w:jc w:val="right"/>
        <w:rPr>
          <w:sz w:val="22"/>
          <w:szCs w:val="22"/>
        </w:rPr>
      </w:pPr>
    </w:p>
    <w:p w14:paraId="284B9E50" w14:textId="77777777" w:rsidR="00670A2C" w:rsidRDefault="00670A2C" w:rsidP="008A4E8E">
      <w:pPr>
        <w:jc w:val="right"/>
        <w:rPr>
          <w:sz w:val="22"/>
          <w:szCs w:val="22"/>
        </w:rPr>
      </w:pPr>
    </w:p>
    <w:p w14:paraId="780524C6" w14:textId="77777777" w:rsidR="00670A2C" w:rsidRDefault="00670A2C" w:rsidP="008A4E8E">
      <w:pPr>
        <w:jc w:val="right"/>
        <w:rPr>
          <w:sz w:val="22"/>
          <w:szCs w:val="22"/>
        </w:rPr>
      </w:pPr>
    </w:p>
    <w:p w14:paraId="7860A53B" w14:textId="77777777" w:rsidR="00670A2C" w:rsidRDefault="00670A2C" w:rsidP="008A4E8E">
      <w:pPr>
        <w:jc w:val="right"/>
        <w:rPr>
          <w:sz w:val="22"/>
          <w:szCs w:val="22"/>
        </w:rPr>
      </w:pPr>
    </w:p>
    <w:p w14:paraId="1A2FF358" w14:textId="77777777" w:rsidR="00670A2C" w:rsidRDefault="00670A2C" w:rsidP="008A4E8E">
      <w:pPr>
        <w:jc w:val="right"/>
        <w:rPr>
          <w:sz w:val="22"/>
          <w:szCs w:val="22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10765" w:type="dxa"/>
        <w:tblInd w:w="-1018" w:type="dxa"/>
        <w:tblLayout w:type="fixed"/>
        <w:tblLook w:val="00A0" w:firstRow="1" w:lastRow="0" w:firstColumn="1" w:lastColumn="0" w:noHBand="0" w:noVBand="0"/>
      </w:tblPr>
      <w:tblGrid>
        <w:gridCol w:w="426"/>
        <w:gridCol w:w="5095"/>
        <w:gridCol w:w="887"/>
        <w:gridCol w:w="992"/>
        <w:gridCol w:w="1701"/>
        <w:gridCol w:w="1664"/>
      </w:tblGrid>
      <w:tr w:rsidR="00142802" w:rsidRPr="00C47E5A" w14:paraId="0A3533D8" w14:textId="77777777" w:rsidTr="004D3B24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7777777" w:rsidR="00142802" w:rsidRDefault="00142802" w:rsidP="000776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Default="004D3B24" w:rsidP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измер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(руб.</w:t>
            </w:r>
            <w:r w:rsidR="003E4C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ПМР)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(руб.</w:t>
            </w:r>
            <w:r w:rsidR="003E4C0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670A2C" w:rsidRPr="00C47E5A" w14:paraId="3FDC9A96" w14:textId="77777777" w:rsidTr="0009063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128FE1" w14:textId="390D1235" w:rsidR="00670A2C" w:rsidRDefault="00670A2C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0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CAB008C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 xml:space="preserve">Системный блок в сборе </w:t>
            </w:r>
          </w:p>
          <w:p w14:paraId="7740D97E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Процессор с кулером</w:t>
            </w:r>
          </w:p>
          <w:p w14:paraId="0DE4A080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"Сокет - 1200</w:t>
            </w:r>
          </w:p>
          <w:p w14:paraId="16EE0D5E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Тактовая частота - от 4.1 ГГц</w:t>
            </w:r>
          </w:p>
          <w:p w14:paraId="5ADC137B" w14:textId="77777777" w:rsidR="00670A2C" w:rsidRPr="004D3B24" w:rsidRDefault="00670A2C" w:rsidP="00670A2C">
            <w:pPr>
              <w:ind w:firstLine="70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4914">
              <w:rPr>
                <w:sz w:val="20"/>
                <w:szCs w:val="20"/>
              </w:rPr>
              <w:t>Количество ядер - от 2"</w:t>
            </w:r>
          </w:p>
          <w:p w14:paraId="47E438AA" w14:textId="77777777" w:rsidR="00670A2C" w:rsidRPr="004D3B24" w:rsidRDefault="00670A2C" w:rsidP="004D3B24">
            <w:pPr>
              <w:jc w:val="both"/>
              <w:rPr>
                <w:b/>
                <w:sz w:val="22"/>
                <w:szCs w:val="22"/>
              </w:rPr>
            </w:pPr>
            <w:r w:rsidRPr="00C64914">
              <w:rPr>
                <w:sz w:val="20"/>
                <w:szCs w:val="20"/>
              </w:rPr>
              <w:t xml:space="preserve">Материнская </w:t>
            </w:r>
            <w:proofErr w:type="gramStart"/>
            <w:r w:rsidRPr="00C64914">
              <w:rPr>
                <w:sz w:val="20"/>
                <w:szCs w:val="20"/>
              </w:rPr>
              <w:t>плата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64914">
              <w:rPr>
                <w:sz w:val="20"/>
                <w:szCs w:val="20"/>
              </w:rPr>
              <w:t>Поддерживающая вышеуказанный тип процессора</w:t>
            </w:r>
          </w:p>
          <w:p w14:paraId="195EA994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 xml:space="preserve">SSD-накопитель </w:t>
            </w:r>
          </w:p>
          <w:p w14:paraId="5F9C41BE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"Объем - 240GB</w:t>
            </w:r>
          </w:p>
          <w:p w14:paraId="089311F5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Форм-фактор - 2.5 "</w:t>
            </w:r>
          </w:p>
          <w:p w14:paraId="0D24A81E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Интерфейс - SATA-600</w:t>
            </w:r>
          </w:p>
          <w:p w14:paraId="52523EA5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Скорость чтения - 500 Мб/сек</w:t>
            </w:r>
          </w:p>
          <w:p w14:paraId="383A1F2D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Скорость записи - 350 Мб/сек</w:t>
            </w:r>
          </w:p>
          <w:p w14:paraId="28CAD605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Поддержка TRIM</w:t>
            </w:r>
          </w:p>
          <w:p w14:paraId="08813B09" w14:textId="77777777" w:rsidR="00670A2C" w:rsidRPr="004D3B24" w:rsidRDefault="00670A2C" w:rsidP="004D3B24">
            <w:pPr>
              <w:jc w:val="both"/>
              <w:rPr>
                <w:bCs/>
                <w:sz w:val="22"/>
                <w:szCs w:val="22"/>
              </w:rPr>
            </w:pPr>
            <w:r w:rsidRPr="00C64914">
              <w:rPr>
                <w:sz w:val="20"/>
                <w:szCs w:val="20"/>
              </w:rPr>
              <w:t>Тип - TLC"</w:t>
            </w:r>
          </w:p>
          <w:p w14:paraId="60C28B1B" w14:textId="77777777" w:rsidR="00670A2C" w:rsidRPr="004D3B24" w:rsidRDefault="00670A2C" w:rsidP="004D3B24">
            <w:pPr>
              <w:jc w:val="both"/>
              <w:rPr>
                <w:b/>
                <w:sz w:val="22"/>
                <w:szCs w:val="22"/>
              </w:rPr>
            </w:pPr>
            <w:r w:rsidRPr="00C64914">
              <w:rPr>
                <w:sz w:val="20"/>
                <w:szCs w:val="20"/>
              </w:rPr>
              <w:t xml:space="preserve">Оперативная память - под вышеуказанную материнскую плату 4 Гб </w:t>
            </w:r>
          </w:p>
          <w:p w14:paraId="225F658D" w14:textId="77777777" w:rsidR="00670A2C" w:rsidRPr="00C64914" w:rsidRDefault="00670A2C" w:rsidP="002A45BE">
            <w:pPr>
              <w:rPr>
                <w:sz w:val="20"/>
                <w:szCs w:val="20"/>
              </w:rPr>
            </w:pPr>
            <w:r w:rsidRPr="00C64914">
              <w:rPr>
                <w:sz w:val="20"/>
                <w:szCs w:val="20"/>
              </w:rPr>
              <w:t>Корпус, подходящий под данную комплектацию</w:t>
            </w:r>
          </w:p>
          <w:p w14:paraId="799DCB5D" w14:textId="77777777" w:rsidR="00670A2C" w:rsidRPr="004D3B24" w:rsidRDefault="00670A2C" w:rsidP="004D3B2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4914">
              <w:rPr>
                <w:sz w:val="20"/>
                <w:szCs w:val="20"/>
              </w:rPr>
              <w:t>С блоком питания от 400 W</w:t>
            </w:r>
          </w:p>
          <w:p w14:paraId="358F9A3C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Обязательно:</w:t>
            </w:r>
          </w:p>
          <w:p w14:paraId="3C9F401D" w14:textId="611CB58E" w:rsidR="00670A2C" w:rsidRPr="004D3B24" w:rsidRDefault="00670A2C" w:rsidP="004D3B24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4914">
              <w:rPr>
                <w:sz w:val="20"/>
                <w:szCs w:val="20"/>
              </w:rPr>
              <w:t xml:space="preserve">1. Установка операционной системы </w:t>
            </w:r>
            <w:proofErr w:type="spellStart"/>
            <w:r w:rsidRPr="00C64914">
              <w:rPr>
                <w:sz w:val="20"/>
                <w:szCs w:val="20"/>
              </w:rPr>
              <w:t>Windows</w:t>
            </w:r>
            <w:proofErr w:type="spellEnd"/>
            <w:r w:rsidRPr="00C64914">
              <w:rPr>
                <w:sz w:val="20"/>
                <w:szCs w:val="20"/>
              </w:rPr>
              <w:t xml:space="preserve"> 10 с соответствующими драйверами.</w:t>
            </w:r>
            <w:r>
              <w:rPr>
                <w:sz w:val="20"/>
                <w:szCs w:val="20"/>
              </w:rPr>
              <w:t xml:space="preserve"> </w:t>
            </w:r>
            <w:r w:rsidRPr="00C64914">
              <w:rPr>
                <w:sz w:val="20"/>
                <w:szCs w:val="20"/>
              </w:rPr>
              <w:t>2. Разбиение SSD-накопителя на 2 равные части.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6B5FCB" w14:textId="637E8B8B" w:rsidR="00670A2C" w:rsidRPr="004D3B24" w:rsidRDefault="00670A2C" w:rsidP="004D3B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6646CA15" w14:textId="08BC344F" w:rsidR="00670A2C" w:rsidRPr="004D3B24" w:rsidRDefault="00670A2C" w:rsidP="004D3B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ED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4C37194" w14:textId="77777777" w:rsidR="00670A2C" w:rsidRDefault="00670A2C" w:rsidP="0014280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0E77" w14:textId="77777777" w:rsidR="00670A2C" w:rsidRDefault="00670A2C" w:rsidP="0014280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260636AB" w14:textId="77777777" w:rsidTr="00461972">
        <w:trPr>
          <w:trHeight w:val="16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0717F5" w14:textId="148001D8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vMerge/>
            <w:tcBorders>
              <w:left w:val="nil"/>
              <w:right w:val="single" w:sz="4" w:space="0" w:color="auto"/>
            </w:tcBorders>
          </w:tcPr>
          <w:p w14:paraId="202F0938" w14:textId="1A59945F" w:rsidR="00670A2C" w:rsidRPr="004D3B24" w:rsidRDefault="00670A2C" w:rsidP="004D3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815C85" w14:textId="563A4387" w:rsidR="00670A2C" w:rsidRPr="004D3B24" w:rsidRDefault="00670A2C" w:rsidP="004D3B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C7367A" w14:textId="7FA0C88A" w:rsidR="00670A2C" w:rsidRPr="004D3B24" w:rsidRDefault="00670A2C" w:rsidP="004D3B2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D81D032" w14:textId="77777777" w:rsidR="00670A2C" w:rsidRDefault="00670A2C" w:rsidP="0014280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81CDAE5" w14:textId="77777777" w:rsidR="00670A2C" w:rsidRDefault="00670A2C" w:rsidP="0014280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512C46A4" w14:textId="77777777" w:rsidTr="00E878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C4179" w14:textId="20B18A1F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BB92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Клавиатура</w:t>
            </w:r>
          </w:p>
          <w:p w14:paraId="0A9AA802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Тип - USB</w:t>
            </w:r>
          </w:p>
          <w:p w14:paraId="6A2C11A4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Цвет - черный</w:t>
            </w:r>
          </w:p>
          <w:p w14:paraId="5F8870EF" w14:textId="37ADB445" w:rsidR="00670A2C" w:rsidRPr="004D3B24" w:rsidRDefault="00670A2C" w:rsidP="004D3B24">
            <w:pPr>
              <w:jc w:val="both"/>
              <w:rPr>
                <w:bCs/>
                <w:sz w:val="22"/>
                <w:szCs w:val="22"/>
              </w:rPr>
            </w:pPr>
            <w:r w:rsidRPr="00E17ED0">
              <w:rPr>
                <w:sz w:val="20"/>
                <w:szCs w:val="20"/>
              </w:rPr>
              <w:t>Язык - русский/английский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6096" w14:textId="7EF14CCD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338" w14:textId="1DE97FEE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r w:rsidRPr="00E17ED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0622B4C8" w14:textId="77777777" w:rsidTr="00E878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019A" w14:textId="38DE8A0C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7E2B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Компьютерная мышь</w:t>
            </w:r>
          </w:p>
          <w:p w14:paraId="493DEDA5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Технология связи - Проводная</w:t>
            </w:r>
          </w:p>
          <w:p w14:paraId="67D2AB5B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Тип датчика - Оптический</w:t>
            </w:r>
          </w:p>
          <w:p w14:paraId="1804A8CA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Интерфейсы - USB</w:t>
            </w:r>
          </w:p>
          <w:p w14:paraId="05CC01FD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Количество кнопок - 2+1</w:t>
            </w:r>
          </w:p>
          <w:p w14:paraId="785A62E8" w14:textId="7E74E7A6" w:rsidR="00670A2C" w:rsidRPr="004D3B24" w:rsidRDefault="00670A2C" w:rsidP="004D3B24">
            <w:pPr>
              <w:jc w:val="both"/>
              <w:rPr>
                <w:bCs/>
                <w:sz w:val="22"/>
                <w:szCs w:val="22"/>
              </w:rPr>
            </w:pPr>
            <w:r w:rsidRPr="00E17ED0">
              <w:rPr>
                <w:sz w:val="20"/>
                <w:szCs w:val="20"/>
              </w:rPr>
              <w:t>Цвет - черный/серый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690D" w14:textId="6CB0061A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7DA7B" w14:textId="65E7D9F7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r w:rsidRPr="00E17ED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9AD0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20C4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528654B3" w14:textId="77777777" w:rsidTr="00E878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37E1" w14:textId="03680C8F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1C65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Монитор 24"</w:t>
            </w:r>
          </w:p>
          <w:p w14:paraId="0A270611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Размер дисплея - 24"</w:t>
            </w:r>
          </w:p>
          <w:p w14:paraId="16207692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Соотношение сторон 16:9</w:t>
            </w:r>
          </w:p>
          <w:p w14:paraId="767181F2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Максимальное разрешение 1920x1080</w:t>
            </w:r>
          </w:p>
          <w:p w14:paraId="2246641E" w14:textId="7B9328FB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Интерфейсы VGA, HDMI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A147" w14:textId="37E7017A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6D41E" w14:textId="57981FFD" w:rsidR="00670A2C" w:rsidRPr="00E17ED0" w:rsidRDefault="00670A2C" w:rsidP="004D3B24">
            <w:pPr>
              <w:jc w:val="center"/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46CFF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5FCF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07F9E20C" w14:textId="77777777" w:rsidTr="00907C1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BC25B" w14:textId="78753616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2207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Веб-камера</w:t>
            </w:r>
          </w:p>
          <w:p w14:paraId="3FF61659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Крепление Универсальное</w:t>
            </w:r>
          </w:p>
          <w:p w14:paraId="5EC429D3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Разрешение видео - 1920x1080</w:t>
            </w:r>
          </w:p>
          <w:p w14:paraId="26857E29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Частота кадров в секунду - 30</w:t>
            </w:r>
          </w:p>
          <w:p w14:paraId="6A45C40F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Встроенный микрофон - Есть</w:t>
            </w:r>
          </w:p>
          <w:p w14:paraId="22DBE464" w14:textId="117F5323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Интерфейс - USB 2.0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A72B" w14:textId="34308874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B0A77" w14:textId="5CA51777" w:rsidR="00670A2C" w:rsidRPr="00E17ED0" w:rsidRDefault="00670A2C" w:rsidP="004D3B24">
            <w:pPr>
              <w:jc w:val="center"/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5C02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9E55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11545B15" w14:textId="77777777" w:rsidTr="00E878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53EB" w14:textId="4127BD9B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2172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proofErr w:type="gramStart"/>
            <w:r w:rsidRPr="00CF77A1">
              <w:rPr>
                <w:b/>
                <w:sz w:val="20"/>
                <w:szCs w:val="20"/>
              </w:rPr>
              <w:t>Аудио-колонки</w:t>
            </w:r>
            <w:proofErr w:type="gramEnd"/>
          </w:p>
          <w:p w14:paraId="4F49FDDC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Тип - 2.0</w:t>
            </w:r>
          </w:p>
          <w:p w14:paraId="649CCCE4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 xml:space="preserve">Мощность </w:t>
            </w:r>
            <w:proofErr w:type="spellStart"/>
            <w:r w:rsidRPr="00E17ED0">
              <w:rPr>
                <w:sz w:val="20"/>
                <w:szCs w:val="20"/>
              </w:rPr>
              <w:t>саттелитов</w:t>
            </w:r>
            <w:proofErr w:type="spellEnd"/>
            <w:r w:rsidRPr="00E17ED0">
              <w:rPr>
                <w:sz w:val="20"/>
                <w:szCs w:val="20"/>
              </w:rPr>
              <w:t xml:space="preserve"> - от (2 х 3) Вт</w:t>
            </w:r>
          </w:p>
          <w:p w14:paraId="6E6D3D36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Частотный диапазон 100 – 20 000 Гц</w:t>
            </w:r>
          </w:p>
          <w:p w14:paraId="6FD24084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Питание - USB или 220В</w:t>
            </w:r>
          </w:p>
          <w:p w14:paraId="7E154026" w14:textId="70020A8D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Разъемы - 3.5 мм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F395" w14:textId="44EF8988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F65AF" w14:textId="195BB424" w:rsidR="00670A2C" w:rsidRPr="00E17ED0" w:rsidRDefault="00670A2C" w:rsidP="004D3B24">
            <w:pPr>
              <w:jc w:val="center"/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BA27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19E7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70A2C" w:rsidRPr="00C47E5A" w14:paraId="48F7A7D2" w14:textId="77777777" w:rsidTr="00E878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AB6E" w14:textId="52865C20" w:rsidR="00670A2C" w:rsidRDefault="00670A2C" w:rsidP="003E4C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98B9" w14:textId="77777777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CF77A1">
              <w:rPr>
                <w:b/>
                <w:sz w:val="20"/>
                <w:szCs w:val="20"/>
              </w:rPr>
              <w:t>USB-накопитель (</w:t>
            </w:r>
            <w:proofErr w:type="spellStart"/>
            <w:r w:rsidRPr="00CF77A1">
              <w:rPr>
                <w:b/>
                <w:sz w:val="20"/>
                <w:szCs w:val="20"/>
              </w:rPr>
              <w:t>флешка</w:t>
            </w:r>
            <w:proofErr w:type="spellEnd"/>
            <w:r w:rsidRPr="00CF77A1">
              <w:rPr>
                <w:b/>
                <w:sz w:val="20"/>
                <w:szCs w:val="20"/>
              </w:rPr>
              <w:t>)</w:t>
            </w:r>
          </w:p>
          <w:p w14:paraId="0D61F4A2" w14:textId="77777777" w:rsidR="00670A2C" w:rsidRPr="00E17ED0" w:rsidRDefault="00670A2C" w:rsidP="002A45BE">
            <w:pPr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Интерфейс - USB 3.0</w:t>
            </w:r>
          </w:p>
          <w:p w14:paraId="7B638788" w14:textId="01F2B569" w:rsidR="00670A2C" w:rsidRPr="00CF77A1" w:rsidRDefault="00670A2C" w:rsidP="002A45BE">
            <w:pPr>
              <w:rPr>
                <w:b/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Объем - 64 Гб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5C46" w14:textId="347BF382" w:rsidR="00670A2C" w:rsidRPr="004D3B24" w:rsidRDefault="00670A2C" w:rsidP="004D3B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491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7CA9C" w14:textId="5726265B" w:rsidR="00670A2C" w:rsidRPr="00E17ED0" w:rsidRDefault="00670A2C" w:rsidP="004D3B24">
            <w:pPr>
              <w:jc w:val="center"/>
              <w:rPr>
                <w:sz w:val="20"/>
                <w:szCs w:val="20"/>
              </w:rPr>
            </w:pPr>
            <w:r w:rsidRPr="00E17ED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4B311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65855" w14:textId="77777777" w:rsidR="00670A2C" w:rsidRDefault="00670A2C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2802" w:rsidRPr="00C47E5A" w14:paraId="6324E67B" w14:textId="77777777" w:rsidTr="004D3B2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C47E5A" w:rsidRDefault="00142802" w:rsidP="003E4C02">
            <w:pPr>
              <w:jc w:val="center"/>
              <w:rPr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01297A" w:rsidRDefault="00142802" w:rsidP="0014280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297A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Default="00142802" w:rsidP="0014280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5479AA0F" w14:textId="77777777" w:rsidR="00E37C75" w:rsidRDefault="00E37C75" w:rsidP="008A4E8E"/>
    <w:tbl>
      <w:tblPr>
        <w:tblW w:w="1075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4819"/>
      </w:tblGrid>
      <w:tr w:rsidR="00670A2C" w:rsidRPr="00C47E5A" w14:paraId="12FD9F34" w14:textId="77777777" w:rsidTr="00670A2C">
        <w:tc>
          <w:tcPr>
            <w:tcW w:w="5939" w:type="dxa"/>
          </w:tcPr>
          <w:p w14:paraId="5A7DF3A3" w14:textId="77777777" w:rsidR="00670A2C" w:rsidRPr="005A0CB8" w:rsidRDefault="00670A2C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670A2C" w:rsidRDefault="00670A2C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670A2C" w:rsidRDefault="00670A2C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670A2C" w:rsidRPr="00C47E5A" w:rsidRDefault="00670A2C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6B1384AB" w14:textId="0C5523DE" w:rsidR="00670A2C" w:rsidRPr="00C47E5A" w:rsidRDefault="00670A2C" w:rsidP="003E4C02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4819" w:type="dxa"/>
          </w:tcPr>
          <w:p w14:paraId="66D5887C" w14:textId="77777777" w:rsidR="00670A2C" w:rsidRPr="005A0CB8" w:rsidRDefault="00670A2C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670A2C" w:rsidRPr="00C47E5A" w:rsidRDefault="00670A2C" w:rsidP="00AC6596">
            <w:pPr>
              <w:suppressAutoHyphens/>
              <w:jc w:val="both"/>
              <w:rPr>
                <w:bCs/>
              </w:rPr>
            </w:pPr>
          </w:p>
        </w:tc>
      </w:tr>
    </w:tbl>
    <w:p w14:paraId="69DBD2F3" w14:textId="6D01C73B" w:rsidR="003E4C02" w:rsidRDefault="003E4C02"/>
    <w:sectPr w:rsidR="003E4C02" w:rsidSect="006309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4C13" w14:textId="77777777" w:rsidR="006D6474" w:rsidRDefault="006D6474" w:rsidP="00BA2339">
      <w:r>
        <w:separator/>
      </w:r>
    </w:p>
  </w:endnote>
  <w:endnote w:type="continuationSeparator" w:id="0">
    <w:p w14:paraId="60352EB8" w14:textId="77777777" w:rsidR="006D6474" w:rsidRDefault="006D6474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B6FD" w14:textId="77777777" w:rsidR="006D6474" w:rsidRDefault="006D6474" w:rsidP="00BA2339">
      <w:r>
        <w:separator/>
      </w:r>
    </w:p>
  </w:footnote>
  <w:footnote w:type="continuationSeparator" w:id="0">
    <w:p w14:paraId="7313F706" w14:textId="77777777" w:rsidR="006D6474" w:rsidRDefault="006D6474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964B3"/>
    <w:rsid w:val="001A1060"/>
    <w:rsid w:val="001A18FA"/>
    <w:rsid w:val="001A558F"/>
    <w:rsid w:val="001A6F82"/>
    <w:rsid w:val="001B195A"/>
    <w:rsid w:val="001C3A91"/>
    <w:rsid w:val="001D1301"/>
    <w:rsid w:val="002114A5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6140FF"/>
    <w:rsid w:val="00624DA0"/>
    <w:rsid w:val="006309F3"/>
    <w:rsid w:val="00646262"/>
    <w:rsid w:val="00647701"/>
    <w:rsid w:val="00670A2C"/>
    <w:rsid w:val="00697A86"/>
    <w:rsid w:val="006A0840"/>
    <w:rsid w:val="006A3DB7"/>
    <w:rsid w:val="006D6474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57844"/>
    <w:rsid w:val="00D63EF3"/>
    <w:rsid w:val="00D6798D"/>
    <w:rsid w:val="00D92ED6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E7666"/>
    <w:rsid w:val="00EF45B7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2022-04-12T07:39:00Z</cp:lastPrinted>
  <dcterms:created xsi:type="dcterms:W3CDTF">2022-04-11T08:26:00Z</dcterms:created>
  <dcterms:modified xsi:type="dcterms:W3CDTF">2022-04-22T05:39:00Z</dcterms:modified>
</cp:coreProperties>
</file>